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8E" w:rsidRDefault="00EB3E8E" w:rsidP="00EB3E8E">
      <w:pPr>
        <w:jc w:val="right"/>
        <w:rPr>
          <w:sz w:val="20"/>
          <w:szCs w:val="20"/>
        </w:rPr>
      </w:pPr>
      <w:r>
        <w:rPr>
          <w:sz w:val="20"/>
          <w:szCs w:val="20"/>
        </w:rPr>
        <w:t>Приложение</w:t>
      </w:r>
    </w:p>
    <w:p w:rsidR="00EB3E8E" w:rsidRDefault="00EB3E8E" w:rsidP="00EB3E8E">
      <w:pPr>
        <w:jc w:val="right"/>
        <w:rPr>
          <w:sz w:val="20"/>
          <w:szCs w:val="20"/>
        </w:rPr>
      </w:pPr>
      <w:r>
        <w:rPr>
          <w:sz w:val="20"/>
          <w:szCs w:val="20"/>
        </w:rPr>
        <w:t xml:space="preserve"> к приказу №0353 от 05.04.2024</w:t>
      </w:r>
    </w:p>
    <w:p w:rsidR="00EB3E8E" w:rsidRDefault="00EB3E8E" w:rsidP="00EB3E8E">
      <w:pPr>
        <w:jc w:val="center"/>
        <w:rPr>
          <w:sz w:val="28"/>
          <w:szCs w:val="28"/>
        </w:rPr>
      </w:pPr>
    </w:p>
    <w:p w:rsidR="00EB3E8E" w:rsidRDefault="00EB3E8E" w:rsidP="00EB3E8E">
      <w:pPr>
        <w:jc w:val="center"/>
        <w:rPr>
          <w:color w:val="000000" w:themeColor="text1"/>
          <w:szCs w:val="24"/>
        </w:rPr>
      </w:pPr>
      <w:r>
        <w:rPr>
          <w:color w:val="000000" w:themeColor="text1"/>
          <w:szCs w:val="24"/>
        </w:rPr>
        <w:t>Перечень инсайдерской информации ПАО «Саратовский НПЗ» с 10.04.2024</w:t>
      </w:r>
    </w:p>
    <w:tbl>
      <w:tblPr>
        <w:tblW w:w="9634" w:type="dxa"/>
        <w:tblLook w:val="04A0" w:firstRow="1" w:lastRow="0" w:firstColumn="1" w:lastColumn="0" w:noHBand="0" w:noVBand="1"/>
      </w:tblPr>
      <w:tblGrid>
        <w:gridCol w:w="562"/>
        <w:gridCol w:w="9072"/>
      </w:tblGrid>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center"/>
              <w:rPr>
                <w:color w:val="000000" w:themeColor="text1"/>
                <w:szCs w:val="24"/>
              </w:rPr>
            </w:pPr>
            <w:r>
              <w:rPr>
                <w:color w:val="000000" w:themeColor="text1"/>
                <w:szCs w:val="24"/>
              </w:rPr>
              <w:t>№ п/п</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center"/>
              <w:rPr>
                <w:rFonts w:eastAsia="Times New Roman"/>
                <w:color w:val="000000" w:themeColor="text1"/>
                <w:szCs w:val="24"/>
                <w:lang w:eastAsia="ru-RU"/>
              </w:rPr>
            </w:pPr>
            <w:r>
              <w:rPr>
                <w:rFonts w:eastAsia="Times New Roman"/>
                <w:color w:val="000000" w:themeColor="text1"/>
                <w:szCs w:val="24"/>
                <w:lang w:eastAsia="ru-RU"/>
              </w:rPr>
              <w:t>Наименование инсайдерской информации</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созыве и проведении общего собрания акционеров </w:t>
            </w:r>
            <w:r>
              <w:rPr>
                <w:color w:val="000000" w:themeColor="text1"/>
                <w:szCs w:val="24"/>
              </w:rPr>
              <w:t>ПАО «Саратовский НПЗ»</w:t>
            </w:r>
            <w:r>
              <w:rPr>
                <w:rFonts w:eastAsia="Times New Roman"/>
                <w:color w:val="000000" w:themeColor="text1"/>
                <w:szCs w:val="24"/>
                <w:lang w:eastAsia="ru-RU"/>
              </w:rPr>
              <w:t xml:space="preserve">, об объявлении общего собрания акционеров </w:t>
            </w:r>
            <w:r>
              <w:rPr>
                <w:color w:val="000000" w:themeColor="text1"/>
                <w:szCs w:val="24"/>
              </w:rPr>
              <w:t>ПАО «Саратовский НПЗ»</w:t>
            </w:r>
            <w:r>
              <w:rPr>
                <w:rFonts w:eastAsia="Times New Roman"/>
                <w:color w:val="000000" w:themeColor="text1"/>
                <w:szCs w:val="24"/>
                <w:lang w:eastAsia="ru-RU"/>
              </w:rPr>
              <w:t xml:space="preserve"> несостоявшимся, а также о решениях, принятых общим собранием акционеров </w:t>
            </w:r>
            <w:r>
              <w:rPr>
                <w:color w:val="000000" w:themeColor="text1"/>
                <w:szCs w:val="24"/>
              </w:rPr>
              <w:t>ПАО «Саратовский НПЗ»</w:t>
            </w:r>
            <w:r>
              <w:rPr>
                <w:rFonts w:eastAsia="Times New Roman"/>
                <w:color w:val="000000" w:themeColor="text1"/>
                <w:szCs w:val="24"/>
                <w:lang w:eastAsia="ru-RU"/>
              </w:rPr>
              <w:t xml:space="preserve"> </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rFonts w:eastAsia="Times New Roman"/>
                <w:color w:val="000000" w:themeColor="text1"/>
                <w:szCs w:val="24"/>
                <w:lang w:eastAsia="ru-RU"/>
              </w:rPr>
            </w:pPr>
            <w:r>
              <w:rPr>
                <w:rFonts w:eastAsia="Times New Roman"/>
                <w:color w:val="000000" w:themeColor="text1"/>
                <w:szCs w:val="24"/>
                <w:lang w:eastAsia="ru-RU"/>
              </w:rPr>
              <w:t xml:space="preserve">Информация о проведении заседания совета директоров </w:t>
            </w:r>
            <w:r>
              <w:rPr>
                <w:color w:val="000000" w:themeColor="text1"/>
                <w:szCs w:val="24"/>
              </w:rPr>
              <w:t>ПАО «Саратовский НПЗ»</w:t>
            </w:r>
            <w:r>
              <w:rPr>
                <w:rFonts w:eastAsia="Times New Roman"/>
                <w:color w:val="000000" w:themeColor="text1"/>
                <w:szCs w:val="24"/>
                <w:lang w:eastAsia="ru-RU"/>
              </w:rPr>
              <w:t xml:space="preserve"> и его повестке дня, а также об отдельных решениях, принятых советом директоров </w:t>
            </w:r>
            <w:r>
              <w:rPr>
                <w:color w:val="000000" w:themeColor="text1"/>
                <w:szCs w:val="24"/>
              </w:rPr>
              <w:t>ПАО «Саратовский НПЗ»</w:t>
            </w:r>
            <w:r>
              <w:rPr>
                <w:rFonts w:eastAsia="Times New Roman"/>
                <w:color w:val="000000" w:themeColor="text1"/>
                <w:szCs w:val="24"/>
                <w:lang w:eastAsia="ru-RU"/>
              </w:rPr>
              <w:t>:</w:t>
            </w:r>
          </w:p>
          <w:p w:rsidR="00EB3E8E" w:rsidRDefault="00EB3E8E">
            <w:pPr>
              <w:spacing w:line="276" w:lineRule="auto"/>
              <w:ind w:left="179" w:hanging="179"/>
              <w:jc w:val="both"/>
              <w:rPr>
                <w:rFonts w:eastAsia="Times New Roman"/>
                <w:color w:val="000000" w:themeColor="text1"/>
                <w:szCs w:val="24"/>
                <w:lang w:eastAsia="ru-RU"/>
              </w:rPr>
            </w:pPr>
            <w:r>
              <w:rPr>
                <w:rFonts w:eastAsia="Times New Roman"/>
                <w:color w:val="000000" w:themeColor="text1"/>
                <w:szCs w:val="24"/>
                <w:lang w:eastAsia="ru-RU"/>
              </w:rPr>
              <w:t xml:space="preserve">-  о предложении общему собранию акционеров </w:t>
            </w:r>
            <w:r>
              <w:rPr>
                <w:color w:val="000000" w:themeColor="text1"/>
                <w:szCs w:val="24"/>
              </w:rPr>
              <w:t>ПАО «Саратовский НПЗ»</w:t>
            </w:r>
            <w:r>
              <w:rPr>
                <w:rFonts w:eastAsia="Times New Roman"/>
                <w:color w:val="000000" w:themeColor="text1"/>
                <w:szCs w:val="24"/>
                <w:lang w:eastAsia="ru-RU"/>
              </w:rPr>
              <w:t xml:space="preserve"> установить в решении о выплате (об объявлении) дивидендов определенную дату, на которую определяются лица, имеющие право на получение дивидендов;</w:t>
            </w:r>
          </w:p>
          <w:p w:rsidR="00EB3E8E" w:rsidRDefault="00EB3E8E">
            <w:pPr>
              <w:spacing w:line="276" w:lineRule="auto"/>
              <w:jc w:val="both"/>
              <w:rPr>
                <w:rFonts w:eastAsia="Times New Roman"/>
                <w:color w:val="000000" w:themeColor="text1"/>
                <w:szCs w:val="24"/>
                <w:lang w:eastAsia="ru-RU"/>
              </w:rPr>
            </w:pPr>
            <w:r>
              <w:rPr>
                <w:rFonts w:eastAsia="Times New Roman"/>
                <w:color w:val="000000" w:themeColor="text1"/>
                <w:szCs w:val="24"/>
                <w:lang w:eastAsia="ru-RU"/>
              </w:rPr>
              <w:t xml:space="preserve">-  о размещении или реализации ценных бумаг </w:t>
            </w:r>
            <w:r>
              <w:rPr>
                <w:color w:val="000000" w:themeColor="text1"/>
                <w:szCs w:val="24"/>
              </w:rPr>
              <w:t>ПАО «Саратовский НПЗ»</w:t>
            </w:r>
            <w:r>
              <w:rPr>
                <w:rFonts w:eastAsia="Times New Roman"/>
                <w:color w:val="000000" w:themeColor="text1"/>
                <w:szCs w:val="24"/>
                <w:lang w:eastAsia="ru-RU"/>
              </w:rPr>
              <w:t>;</w:t>
            </w:r>
          </w:p>
          <w:p w:rsidR="00EB3E8E" w:rsidRDefault="00EB3E8E">
            <w:pPr>
              <w:spacing w:line="276" w:lineRule="auto"/>
              <w:ind w:left="179" w:hanging="179"/>
              <w:jc w:val="both"/>
              <w:rPr>
                <w:rFonts w:eastAsia="Times New Roman"/>
                <w:color w:val="000000" w:themeColor="text1"/>
                <w:szCs w:val="24"/>
                <w:lang w:eastAsia="ru-RU"/>
              </w:rPr>
            </w:pPr>
            <w:r>
              <w:rPr>
                <w:rFonts w:eastAsia="Times New Roman"/>
                <w:color w:val="000000" w:themeColor="text1"/>
                <w:szCs w:val="24"/>
                <w:lang w:eastAsia="ru-RU"/>
              </w:rPr>
              <w:t xml:space="preserve">- об определении или о порядке определения цены размещения акций или ценных бумаг, конвертируемых в акции </w:t>
            </w:r>
            <w:r>
              <w:rPr>
                <w:color w:val="000000" w:themeColor="text1"/>
                <w:szCs w:val="24"/>
              </w:rPr>
              <w:t>ПАО «Саратовский НПЗ»</w:t>
            </w:r>
            <w:r>
              <w:rPr>
                <w:rFonts w:eastAsia="Times New Roman"/>
                <w:color w:val="000000" w:themeColor="text1"/>
                <w:szCs w:val="24"/>
                <w:lang w:eastAsia="ru-RU"/>
              </w:rPr>
              <w:t>;</w:t>
            </w:r>
          </w:p>
          <w:p w:rsidR="00EB3E8E" w:rsidRDefault="00EB3E8E">
            <w:pPr>
              <w:spacing w:line="276" w:lineRule="auto"/>
              <w:ind w:left="179" w:hanging="179"/>
              <w:jc w:val="both"/>
              <w:rPr>
                <w:rFonts w:eastAsia="Times New Roman"/>
                <w:color w:val="000000" w:themeColor="text1"/>
                <w:szCs w:val="24"/>
                <w:lang w:eastAsia="ru-RU"/>
              </w:rPr>
            </w:pPr>
            <w:r>
              <w:rPr>
                <w:rFonts w:eastAsia="Times New Roman"/>
                <w:color w:val="000000" w:themeColor="text1"/>
                <w:szCs w:val="24"/>
                <w:lang w:eastAsia="ru-RU"/>
              </w:rPr>
              <w:t xml:space="preserve">- об образовании исполнительного органа </w:t>
            </w:r>
            <w:r>
              <w:rPr>
                <w:color w:val="000000" w:themeColor="text1"/>
                <w:szCs w:val="24"/>
              </w:rPr>
              <w:t>ПАО «Саратовский НПЗ»</w:t>
            </w:r>
            <w:r>
              <w:rPr>
                <w:rFonts w:eastAsia="Times New Roman"/>
                <w:color w:val="000000" w:themeColor="text1"/>
                <w:szCs w:val="24"/>
                <w:lang w:eastAsia="ru-RU"/>
              </w:rPr>
              <w:t xml:space="preserve"> и о досрочном прекращении (приостановлении) его полномочий, в том числе полномочий управляющей организации или управляющего;</w:t>
            </w:r>
          </w:p>
          <w:p w:rsidR="00EB3E8E" w:rsidRDefault="00EB3E8E">
            <w:pPr>
              <w:spacing w:line="276" w:lineRule="auto"/>
              <w:ind w:left="179" w:hanging="179"/>
              <w:jc w:val="both"/>
              <w:rPr>
                <w:rFonts w:eastAsia="Times New Roman"/>
                <w:color w:val="000000" w:themeColor="text1"/>
                <w:szCs w:val="24"/>
                <w:lang w:eastAsia="ru-RU"/>
              </w:rPr>
            </w:pPr>
            <w:r>
              <w:rPr>
                <w:rFonts w:eastAsia="Times New Roman"/>
                <w:color w:val="000000" w:themeColor="text1"/>
                <w:szCs w:val="24"/>
                <w:lang w:eastAsia="ru-RU"/>
              </w:rPr>
              <w:t xml:space="preserve">- о включении кандидатов в список кандидатур для голосования на общем собрании акционеров </w:t>
            </w:r>
            <w:r>
              <w:rPr>
                <w:color w:val="000000" w:themeColor="text1"/>
                <w:szCs w:val="24"/>
              </w:rPr>
              <w:t>ПАО «Саратовский НПЗ»</w:t>
            </w:r>
            <w:r>
              <w:rPr>
                <w:rFonts w:eastAsia="Times New Roman"/>
                <w:color w:val="000000" w:themeColor="text1"/>
                <w:szCs w:val="24"/>
                <w:lang w:eastAsia="ru-RU"/>
              </w:rPr>
              <w:t xml:space="preserve"> по вопросу об избрании членов совета директоров </w:t>
            </w:r>
            <w:r>
              <w:rPr>
                <w:color w:val="000000" w:themeColor="text1"/>
                <w:szCs w:val="24"/>
              </w:rPr>
              <w:t>ПАО «Саратовский НПЗ»</w:t>
            </w:r>
            <w:r>
              <w:rPr>
                <w:rFonts w:eastAsia="Times New Roman"/>
                <w:color w:val="000000" w:themeColor="text1"/>
                <w:szCs w:val="24"/>
                <w:lang w:eastAsia="ru-RU"/>
              </w:rPr>
              <w:t>;</w:t>
            </w:r>
          </w:p>
          <w:p w:rsidR="00EB3E8E" w:rsidRDefault="00EB3E8E">
            <w:pPr>
              <w:spacing w:line="276" w:lineRule="auto"/>
              <w:ind w:left="179" w:hanging="142"/>
              <w:jc w:val="both"/>
              <w:rPr>
                <w:rFonts w:eastAsia="Times New Roman"/>
                <w:color w:val="000000" w:themeColor="text1"/>
                <w:szCs w:val="24"/>
                <w:lang w:eastAsia="ru-RU"/>
              </w:rPr>
            </w:pPr>
            <w:r>
              <w:rPr>
                <w:rFonts w:eastAsia="Times New Roman"/>
                <w:color w:val="000000" w:themeColor="text1"/>
                <w:szCs w:val="24"/>
                <w:lang w:eastAsia="ru-RU"/>
              </w:rPr>
              <w:t xml:space="preserve">- о рекомендациях в отношении размера дивидендов по акциям </w:t>
            </w:r>
            <w:r>
              <w:rPr>
                <w:color w:val="000000" w:themeColor="text1"/>
                <w:szCs w:val="24"/>
              </w:rPr>
              <w:t>ПАО «Саратовский НПЗ»</w:t>
            </w:r>
            <w:r>
              <w:rPr>
                <w:rFonts w:eastAsia="Times New Roman"/>
                <w:color w:val="000000" w:themeColor="text1"/>
                <w:szCs w:val="24"/>
                <w:lang w:eastAsia="ru-RU"/>
              </w:rPr>
              <w:t xml:space="preserve"> и порядка их выплаты;</w:t>
            </w:r>
          </w:p>
          <w:p w:rsidR="00EB3E8E" w:rsidRDefault="00EB3E8E">
            <w:pPr>
              <w:spacing w:line="276" w:lineRule="auto"/>
              <w:jc w:val="both"/>
              <w:rPr>
                <w:rFonts w:eastAsia="Times New Roman"/>
                <w:color w:val="000000" w:themeColor="text1"/>
                <w:szCs w:val="24"/>
                <w:lang w:eastAsia="ru-RU"/>
              </w:rPr>
            </w:pPr>
            <w:r>
              <w:rPr>
                <w:rFonts w:eastAsia="Times New Roman"/>
                <w:color w:val="000000" w:themeColor="text1"/>
                <w:szCs w:val="24"/>
                <w:lang w:eastAsia="ru-RU"/>
              </w:rPr>
              <w:t xml:space="preserve">- об утверждении внутренних документов </w:t>
            </w:r>
            <w:r>
              <w:rPr>
                <w:color w:val="000000" w:themeColor="text1"/>
                <w:szCs w:val="24"/>
              </w:rPr>
              <w:t>ПАО «Саратовский НПЗ»</w:t>
            </w:r>
            <w:r>
              <w:rPr>
                <w:rFonts w:eastAsia="Times New Roman"/>
                <w:color w:val="000000" w:themeColor="text1"/>
                <w:szCs w:val="24"/>
                <w:lang w:eastAsia="ru-RU"/>
              </w:rPr>
              <w:t>;</w:t>
            </w:r>
          </w:p>
          <w:p w:rsidR="00EB3E8E" w:rsidRDefault="00EB3E8E">
            <w:pPr>
              <w:spacing w:line="276" w:lineRule="auto"/>
              <w:ind w:left="179" w:hanging="179"/>
              <w:jc w:val="both"/>
              <w:rPr>
                <w:rFonts w:eastAsia="Times New Roman"/>
                <w:color w:val="000000" w:themeColor="text1"/>
                <w:szCs w:val="24"/>
                <w:lang w:eastAsia="ru-RU"/>
              </w:rPr>
            </w:pPr>
            <w:r>
              <w:rPr>
                <w:rFonts w:eastAsia="Times New Roman"/>
                <w:color w:val="000000" w:themeColor="text1"/>
                <w:szCs w:val="24"/>
                <w:lang w:eastAsia="ru-RU"/>
              </w:rPr>
              <w:t xml:space="preserve">- о согласии на совершение или о последующем одобрении сделки (нескольких взаимосвязанных сделок) </w:t>
            </w:r>
            <w:r>
              <w:rPr>
                <w:color w:val="000000" w:themeColor="text1"/>
                <w:szCs w:val="24"/>
              </w:rPr>
              <w:t>ПАО «Саратовский НПЗ»</w:t>
            </w:r>
            <w:r>
              <w:rPr>
                <w:rFonts w:eastAsia="Times New Roman"/>
                <w:color w:val="000000" w:themeColor="text1"/>
                <w:szCs w:val="24"/>
                <w:lang w:eastAsia="ru-RU"/>
              </w:rPr>
              <w:t xml:space="preserve">, признаваемой в соответствии с законодательством Российской Федерации крупной сделкой и (или) сделкой, в совершении которой имеется заинтересованность, а также иной сделки (нескольких взаимосвязанных сделок), размер которой составляет 10 и более процентов стоимости активов, определяемой по данным финансовой отчетности </w:t>
            </w:r>
            <w:r>
              <w:rPr>
                <w:color w:val="000000" w:themeColor="text1"/>
                <w:szCs w:val="24"/>
              </w:rPr>
              <w:t>ПАО «Саратовский НПЗ»</w:t>
            </w:r>
            <w:r>
              <w:rPr>
                <w:rFonts w:eastAsia="Times New Roman"/>
                <w:color w:val="000000" w:themeColor="text1"/>
                <w:szCs w:val="24"/>
                <w:lang w:eastAsia="ru-RU"/>
              </w:rPr>
              <w:t>, на последнюю отчетную дату (дату окончания последнего завершенного отчетного периода, предшествующего дате принятия решения о согласии на совершение сделки или дате совершения сделки, если принимается решение о ее последующем одобрении);</w:t>
            </w:r>
          </w:p>
          <w:p w:rsidR="00EB3E8E" w:rsidRDefault="00EB3E8E">
            <w:pPr>
              <w:spacing w:line="276" w:lineRule="auto"/>
              <w:ind w:left="179" w:hanging="179"/>
              <w:jc w:val="both"/>
              <w:rPr>
                <w:rFonts w:eastAsia="Times New Roman"/>
                <w:color w:val="000000" w:themeColor="text1"/>
                <w:szCs w:val="24"/>
                <w:lang w:eastAsia="ru-RU"/>
              </w:rPr>
            </w:pPr>
            <w:r>
              <w:rPr>
                <w:rFonts w:eastAsia="Times New Roman"/>
                <w:color w:val="000000" w:themeColor="text1"/>
                <w:szCs w:val="24"/>
                <w:lang w:eastAsia="ru-RU"/>
              </w:rPr>
              <w:t xml:space="preserve">- о передаче полномочий единоличного исполнительного органа </w:t>
            </w:r>
            <w:r>
              <w:rPr>
                <w:color w:val="000000" w:themeColor="text1"/>
                <w:szCs w:val="24"/>
              </w:rPr>
              <w:t xml:space="preserve">ПАО «Саратовский НПЗ» </w:t>
            </w:r>
            <w:r>
              <w:rPr>
                <w:rFonts w:eastAsia="Times New Roman"/>
                <w:color w:val="000000" w:themeColor="text1"/>
                <w:szCs w:val="24"/>
                <w:lang w:eastAsia="ru-RU"/>
              </w:rPr>
              <w:t xml:space="preserve">управляющей организации или управляющему, об утверждении управляющей организации или управляющего и условий договора, заключаемого </w:t>
            </w:r>
            <w:r>
              <w:rPr>
                <w:color w:val="000000" w:themeColor="text1"/>
                <w:szCs w:val="24"/>
              </w:rPr>
              <w:t>ПАО «Саратовский НПЗ»</w:t>
            </w:r>
            <w:r>
              <w:rPr>
                <w:rFonts w:eastAsia="Times New Roman"/>
                <w:color w:val="000000" w:themeColor="text1"/>
                <w:szCs w:val="24"/>
                <w:lang w:eastAsia="ru-RU"/>
              </w:rPr>
              <w:t xml:space="preserve"> с управляющей организацией или управляющим;</w:t>
            </w:r>
          </w:p>
          <w:p w:rsidR="00EB3E8E" w:rsidRDefault="00EB3E8E">
            <w:pPr>
              <w:spacing w:line="276" w:lineRule="auto"/>
              <w:ind w:left="179" w:hanging="179"/>
              <w:jc w:val="both"/>
              <w:rPr>
                <w:color w:val="000000" w:themeColor="text1"/>
                <w:szCs w:val="24"/>
              </w:rPr>
            </w:pPr>
            <w:r>
              <w:rPr>
                <w:rFonts w:eastAsia="Times New Roman"/>
                <w:color w:val="000000" w:themeColor="text1"/>
                <w:szCs w:val="24"/>
                <w:lang w:eastAsia="ru-RU"/>
              </w:rPr>
              <w:t xml:space="preserve">- об утверждении регистратора, осуществляющего ведение реестра владельцев ценных бумаг </w:t>
            </w:r>
            <w:r>
              <w:rPr>
                <w:color w:val="000000" w:themeColor="text1"/>
                <w:szCs w:val="24"/>
              </w:rPr>
              <w:t>ПАО «Саратовский НПЗ»</w:t>
            </w:r>
            <w:r>
              <w:rPr>
                <w:rFonts w:eastAsia="Times New Roman"/>
                <w:color w:val="000000" w:themeColor="text1"/>
                <w:szCs w:val="24"/>
                <w:lang w:eastAsia="ru-RU"/>
              </w:rPr>
              <w:t xml:space="preserve">, условий договора с ним в части ведения реестра владельцев ценных бумаг </w:t>
            </w:r>
            <w:r>
              <w:rPr>
                <w:color w:val="000000" w:themeColor="text1"/>
                <w:szCs w:val="24"/>
              </w:rPr>
              <w:t>ПАО «Саратовский НПЗ»</w:t>
            </w:r>
            <w:r>
              <w:rPr>
                <w:rFonts w:eastAsia="Times New Roman"/>
                <w:color w:val="000000" w:themeColor="text1"/>
                <w:szCs w:val="24"/>
                <w:lang w:eastAsia="ru-RU"/>
              </w:rPr>
              <w:t>, а также о расторжении договора с ним</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lastRenderedPageBreak/>
              <w:t>3</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rFonts w:eastAsia="Times New Roman"/>
                <w:color w:val="000000" w:themeColor="text1"/>
                <w:szCs w:val="24"/>
                <w:lang w:eastAsia="ru-RU"/>
              </w:rPr>
            </w:pPr>
            <w:r>
              <w:rPr>
                <w:rFonts w:eastAsia="Times New Roman"/>
                <w:color w:val="000000" w:themeColor="text1"/>
                <w:szCs w:val="24"/>
                <w:lang w:eastAsia="ru-RU"/>
              </w:rPr>
              <w:t>Информация о появлении у ПАО «Саратовский НПЗ» признаков банкротства, предусмотренных Федеральным законом от 26 октября 2002 года №127-ФЗ «О несостоятельности (банкротстве)»</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4</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принятии арбитражным судом заявления о признании </w:t>
            </w:r>
            <w:r>
              <w:rPr>
                <w:color w:val="000000" w:themeColor="text1"/>
                <w:szCs w:val="24"/>
              </w:rPr>
              <w:t>ПАО «Саратовский НПЗ»</w:t>
            </w:r>
            <w:r>
              <w:rPr>
                <w:rFonts w:eastAsia="Times New Roman"/>
                <w:color w:val="000000" w:themeColor="text1"/>
                <w:szCs w:val="24"/>
                <w:lang w:eastAsia="ru-RU"/>
              </w:rPr>
              <w:t xml:space="preserve"> несостоятельным (банкротом), а также о принятии арбитражным судом решения о признании </w:t>
            </w:r>
            <w:r>
              <w:rPr>
                <w:color w:val="000000" w:themeColor="text1"/>
                <w:szCs w:val="24"/>
              </w:rPr>
              <w:t xml:space="preserve">ПАО «Саратовский НПЗ» </w:t>
            </w:r>
            <w:r>
              <w:rPr>
                <w:rFonts w:eastAsia="Times New Roman"/>
                <w:color w:val="000000" w:themeColor="text1"/>
                <w:szCs w:val="24"/>
                <w:lang w:eastAsia="ru-RU"/>
              </w:rPr>
              <w:t xml:space="preserve">несостоятельным (банкротом), введении в отношении </w:t>
            </w:r>
            <w:r>
              <w:rPr>
                <w:color w:val="000000" w:themeColor="text1"/>
                <w:szCs w:val="24"/>
              </w:rPr>
              <w:t>ПАО «Саратовский НПЗ»</w:t>
            </w:r>
            <w:r>
              <w:rPr>
                <w:rFonts w:eastAsia="Times New Roman"/>
                <w:color w:val="000000" w:themeColor="text1"/>
                <w:szCs w:val="24"/>
                <w:lang w:eastAsia="ru-RU"/>
              </w:rPr>
              <w:t xml:space="preserve"> одной из процедур банкротства, прекращении в отношении </w:t>
            </w:r>
            <w:r>
              <w:rPr>
                <w:color w:val="000000" w:themeColor="text1"/>
                <w:szCs w:val="24"/>
              </w:rPr>
              <w:t>ПАО «Саратовский НПЗ»</w:t>
            </w:r>
            <w:r>
              <w:rPr>
                <w:rFonts w:eastAsia="Times New Roman"/>
                <w:color w:val="000000" w:themeColor="text1"/>
                <w:szCs w:val="24"/>
                <w:lang w:eastAsia="ru-RU"/>
              </w:rPr>
              <w:t xml:space="preserve"> производства по делу о банкротстве</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5</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дате, на которую определяются (фиксируются) лица, имеющие право на осуществление прав по ценным бумагам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6</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об этапах процедуры эмиссии ценных бумаг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7</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приостановлении и возобновлении эмиссии ценных бумаг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8</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признании выпуска (дополнительного выпуска) ценных бумаг </w:t>
            </w:r>
            <w:r>
              <w:rPr>
                <w:color w:val="000000" w:themeColor="text1"/>
                <w:szCs w:val="24"/>
              </w:rPr>
              <w:t>ПАО «Саратовский НПЗ»</w:t>
            </w:r>
            <w:r>
              <w:rPr>
                <w:rFonts w:eastAsia="Times New Roman"/>
                <w:color w:val="000000" w:themeColor="text1"/>
                <w:szCs w:val="24"/>
                <w:lang w:eastAsia="ru-RU"/>
              </w:rPr>
              <w:t xml:space="preserve"> несостоявшимся или недействительным</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9</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погашении ценных бумаг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10</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Информация о регистрации изменений в решение о выпуске ценных бумаг в части изменения объема прав по ценным бумагам и (или) номинальной стоимости ценных бумаг, в том числе при их консолидации или дроблении</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11</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принятии решения о приобретении (наступлении оснований для приобретения) </w:t>
            </w:r>
            <w:r>
              <w:rPr>
                <w:color w:val="000000" w:themeColor="text1"/>
                <w:szCs w:val="24"/>
              </w:rPr>
              <w:t>ПАО «Саратовский НПЗ»</w:t>
            </w:r>
            <w:r>
              <w:rPr>
                <w:rFonts w:eastAsia="Times New Roman"/>
                <w:color w:val="000000" w:themeColor="text1"/>
                <w:szCs w:val="24"/>
                <w:lang w:eastAsia="ru-RU"/>
              </w:rPr>
              <w:t xml:space="preserve"> размещенных им ценных бумаг</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12</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начисленных (объявленных) и (или) выплаченных доходах по ценным бумагам </w:t>
            </w:r>
            <w:r>
              <w:rPr>
                <w:color w:val="000000" w:themeColor="text1"/>
                <w:szCs w:val="24"/>
              </w:rPr>
              <w:t>ПАО «Саратовский НПЗ»</w:t>
            </w:r>
            <w:r>
              <w:rPr>
                <w:rFonts w:eastAsia="Times New Roman"/>
                <w:color w:val="000000" w:themeColor="text1"/>
                <w:szCs w:val="24"/>
                <w:lang w:eastAsia="ru-RU"/>
              </w:rPr>
              <w:t xml:space="preserve">, об иных выплатах, причитающихся владельцам ценных бумаг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13</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включении ценных бумаг </w:t>
            </w:r>
            <w:r>
              <w:rPr>
                <w:color w:val="000000" w:themeColor="text1"/>
                <w:szCs w:val="24"/>
              </w:rPr>
              <w:t>ПАО «Саратовский НПЗ»</w:t>
            </w:r>
            <w:r>
              <w:rPr>
                <w:rFonts w:eastAsia="Times New Roman"/>
                <w:color w:val="000000" w:themeColor="text1"/>
                <w:szCs w:val="24"/>
                <w:lang w:eastAsia="ru-RU"/>
              </w:rPr>
              <w:t xml:space="preserve"> российским организатором торговли в список ценных бумаг, допущенных к организованным торгам для заключения договоров купли-продажи, в том числе о включении ценных бумаг </w:t>
            </w:r>
            <w:r>
              <w:rPr>
                <w:color w:val="000000" w:themeColor="text1"/>
                <w:szCs w:val="24"/>
              </w:rPr>
              <w:t>ПАО «Саратовский НПЗ»</w:t>
            </w:r>
            <w:r>
              <w:rPr>
                <w:rFonts w:eastAsia="Times New Roman"/>
                <w:color w:val="000000" w:themeColor="text1"/>
                <w:szCs w:val="24"/>
                <w:lang w:eastAsia="ru-RU"/>
              </w:rPr>
              <w:t xml:space="preserve"> российской биржей в котировальный список, или об исключении ценных бумаг </w:t>
            </w:r>
            <w:r>
              <w:rPr>
                <w:color w:val="000000" w:themeColor="text1"/>
                <w:szCs w:val="24"/>
              </w:rPr>
              <w:t>ПАО «Саратовский НПЗ»</w:t>
            </w:r>
            <w:r>
              <w:rPr>
                <w:rFonts w:eastAsia="Times New Roman"/>
                <w:color w:val="000000" w:themeColor="text1"/>
                <w:szCs w:val="24"/>
                <w:lang w:eastAsia="ru-RU"/>
              </w:rPr>
              <w:t xml:space="preserve"> российским организатором торговли из списка ценных бумаг, допущенных к организованным торгам для заключения договоров купли-продажи, в том числе об исключении ценных бумаг </w:t>
            </w:r>
            <w:r>
              <w:rPr>
                <w:color w:val="000000" w:themeColor="text1"/>
                <w:szCs w:val="24"/>
              </w:rPr>
              <w:t>ПАО «Саратовский НПЗ»</w:t>
            </w:r>
            <w:r>
              <w:rPr>
                <w:rFonts w:eastAsia="Times New Roman"/>
                <w:color w:val="000000" w:themeColor="text1"/>
                <w:szCs w:val="24"/>
                <w:lang w:eastAsia="ru-RU"/>
              </w:rPr>
              <w:t xml:space="preserve"> российской биржей из котировального списка, а также о переводе ценных бумаг </w:t>
            </w:r>
            <w:r>
              <w:rPr>
                <w:color w:val="000000" w:themeColor="text1"/>
                <w:szCs w:val="24"/>
              </w:rPr>
              <w:t>ПАО «Саратовский НПЗ»</w:t>
            </w:r>
            <w:r>
              <w:rPr>
                <w:rFonts w:eastAsia="Times New Roman"/>
                <w:color w:val="000000" w:themeColor="text1"/>
                <w:szCs w:val="24"/>
                <w:lang w:eastAsia="ru-RU"/>
              </w:rPr>
              <w:t xml:space="preserve"> из одного котировального списка в другой котировальный список (об исключении ценных бумаг </w:t>
            </w:r>
            <w:r>
              <w:rPr>
                <w:color w:val="000000" w:themeColor="text1"/>
                <w:szCs w:val="24"/>
              </w:rPr>
              <w:t>ПАО «Саратовский НПЗ»</w:t>
            </w:r>
            <w:r>
              <w:rPr>
                <w:rFonts w:eastAsia="Times New Roman"/>
                <w:color w:val="000000" w:themeColor="text1"/>
                <w:szCs w:val="24"/>
                <w:lang w:eastAsia="ru-RU"/>
              </w:rPr>
              <w:t xml:space="preserve"> из одного котировального списка и о включении их в другой котировальный список)</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14</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включении ценных бумаг </w:t>
            </w:r>
            <w:r>
              <w:rPr>
                <w:color w:val="000000" w:themeColor="text1"/>
                <w:szCs w:val="24"/>
              </w:rPr>
              <w:t>ПАО «Саратовский НПЗ»</w:t>
            </w:r>
            <w:r>
              <w:rPr>
                <w:rFonts w:eastAsia="Times New Roman"/>
                <w:color w:val="000000" w:themeColor="text1"/>
                <w:szCs w:val="24"/>
                <w:lang w:eastAsia="ru-RU"/>
              </w:rPr>
              <w:t xml:space="preserve"> (ценных бумаг иностранной организации, удостоверяющих права в отношении ценных бумаг российских эмитентов (далее - депозитарные ценные бумаги) в список ценных бумаг, допущенных к торгам на иностранном организованном (регулируемом) финансовом рынке, в том числе о включении указанных ценных бумаг иностранной биржей в котировальный список, и об исключении ценных бумаг </w:t>
            </w:r>
            <w:r>
              <w:rPr>
                <w:color w:val="000000" w:themeColor="text1"/>
                <w:szCs w:val="24"/>
              </w:rPr>
              <w:t>ПАО «Саратовский НПЗ»</w:t>
            </w:r>
            <w:r>
              <w:rPr>
                <w:rFonts w:eastAsia="Times New Roman"/>
                <w:color w:val="000000" w:themeColor="text1"/>
                <w:szCs w:val="24"/>
                <w:lang w:eastAsia="ru-RU"/>
              </w:rPr>
              <w:t xml:space="preserve"> (депозитарных ценных бумаг) из списка ценных бумаг, допущенных к торгам на иностранном организованном (регулируемом) финансовом рынке, в том числе об исключении указанных ценных бумаг иностранной биржей из котировального списка</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lastRenderedPageBreak/>
              <w:t>15</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неисполнении обязательств </w:t>
            </w:r>
            <w:r>
              <w:rPr>
                <w:color w:val="000000" w:themeColor="text1"/>
                <w:szCs w:val="24"/>
              </w:rPr>
              <w:t>ПАО «Саратовский НПЗ»</w:t>
            </w:r>
            <w:r>
              <w:rPr>
                <w:rFonts w:eastAsia="Times New Roman"/>
                <w:color w:val="000000" w:themeColor="text1"/>
                <w:szCs w:val="24"/>
                <w:lang w:eastAsia="ru-RU"/>
              </w:rPr>
              <w:t xml:space="preserve"> перед владельцами его ценных бумаг</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16</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приобретении лицом или прекращении у лица права прямо или косвенно (через подконтрольных ему лиц) самостоятельно или совместно с иными лицами, связанными с ним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w:t>
            </w:r>
            <w:r>
              <w:rPr>
                <w:color w:val="000000" w:themeColor="text1"/>
                <w:szCs w:val="24"/>
              </w:rPr>
              <w:t>ПАО «Саратовский НПЗ»</w:t>
            </w:r>
            <w:r>
              <w:rPr>
                <w:rFonts w:eastAsia="Times New Roman"/>
                <w:color w:val="000000" w:themeColor="text1"/>
                <w:szCs w:val="24"/>
                <w:lang w:eastAsia="ru-RU"/>
              </w:rPr>
              <w:t xml:space="preserve">, распоряжаться определенным количеством голосов, приходящихся на голосующие акции (доли), составляющие уставный капитал </w:t>
            </w:r>
            <w:r>
              <w:rPr>
                <w:color w:val="000000" w:themeColor="text1"/>
                <w:szCs w:val="24"/>
              </w:rPr>
              <w:t>ПАО «Саратовский НПЗ»</w:t>
            </w:r>
            <w:r>
              <w:rPr>
                <w:rFonts w:eastAsia="Times New Roman"/>
                <w:color w:val="000000" w:themeColor="text1"/>
                <w:szCs w:val="24"/>
                <w:lang w:eastAsia="ru-RU"/>
              </w:rPr>
              <w:t xml:space="preserve">, если указанное количество голосов составляет 5 процентов либо стало больше или меньше 5, 10, 15, 20, 25, 30, 50, 75 или 95 процентов общего количества голосов, приходящихся на голосующие акции (доли), составляющие уставный капитал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17</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поступившем </w:t>
            </w:r>
            <w:r>
              <w:rPr>
                <w:color w:val="000000" w:themeColor="text1"/>
                <w:szCs w:val="24"/>
              </w:rPr>
              <w:t>ПАО «Саратовский НПЗ»</w:t>
            </w:r>
            <w:r>
              <w:rPr>
                <w:rFonts w:eastAsia="Times New Roman"/>
                <w:color w:val="000000" w:themeColor="text1"/>
                <w:szCs w:val="24"/>
                <w:lang w:eastAsia="ru-RU"/>
              </w:rPr>
              <w:t xml:space="preserve"> в соответствии с </w:t>
            </w:r>
            <w:hyperlink r:id="rId6" w:anchor="/document/10105712/entry/11100" w:history="1">
              <w:r w:rsidRPr="009D441C">
                <w:rPr>
                  <w:rStyle w:val="a6"/>
                  <w:rFonts w:eastAsia="Times New Roman"/>
                  <w:color w:val="000000" w:themeColor="text1"/>
                  <w:szCs w:val="24"/>
                  <w:u w:val="none"/>
                  <w:lang w:eastAsia="ru-RU"/>
                </w:rPr>
                <w:t>главой XI</w:t>
              </w:r>
              <w:r w:rsidRPr="009D441C">
                <w:rPr>
                  <w:rStyle w:val="a6"/>
                  <w:rFonts w:eastAsia="Times New Roman"/>
                  <w:color w:val="000000" w:themeColor="text1"/>
                  <w:szCs w:val="24"/>
                  <w:u w:val="none"/>
                  <w:vertAlign w:val="superscript"/>
                  <w:lang w:eastAsia="ru-RU"/>
                </w:rPr>
                <w:t> 1</w:t>
              </w:r>
            </w:hyperlink>
            <w:r>
              <w:rPr>
                <w:rFonts w:eastAsia="Times New Roman"/>
                <w:color w:val="000000" w:themeColor="text1"/>
                <w:szCs w:val="24"/>
                <w:lang w:eastAsia="ru-RU"/>
              </w:rPr>
              <w:t> Федерального закона от 26 декабря 1995 года № 208-ФЗ «Об акционерных обществах»</w:t>
            </w:r>
            <w:r>
              <w:rPr>
                <w:rStyle w:val="a5"/>
                <w:rFonts w:eastAsia="Times New Roman"/>
                <w:color w:val="000000" w:themeColor="text1"/>
                <w:szCs w:val="24"/>
                <w:lang w:eastAsia="ru-RU"/>
              </w:rPr>
              <w:footnoteReference w:id="1"/>
            </w:r>
            <w:r>
              <w:rPr>
                <w:rFonts w:eastAsia="Times New Roman"/>
                <w:color w:val="000000" w:themeColor="text1"/>
                <w:szCs w:val="24"/>
                <w:lang w:eastAsia="ru-RU"/>
              </w:rPr>
              <w:t xml:space="preserve"> добровольном, в том числе конкурирующем, или обязательном предложении о приобретении его ценных бумаг, а также об изменениях, внесенных в указанные предложения</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18</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поступившем </w:t>
            </w:r>
            <w:r>
              <w:rPr>
                <w:color w:val="000000" w:themeColor="text1"/>
                <w:szCs w:val="24"/>
              </w:rPr>
              <w:t>ПАО «Саратовский НПЗ»</w:t>
            </w:r>
            <w:r>
              <w:rPr>
                <w:rFonts w:eastAsia="Times New Roman"/>
                <w:color w:val="000000" w:themeColor="text1"/>
                <w:szCs w:val="24"/>
                <w:lang w:eastAsia="ru-RU"/>
              </w:rPr>
              <w:t xml:space="preserve"> в соответствии с </w:t>
            </w:r>
            <w:hyperlink r:id="rId7" w:anchor="/document/10105712/entry/11100" w:history="1">
              <w:r w:rsidRPr="009D441C">
                <w:rPr>
                  <w:rStyle w:val="a6"/>
                  <w:rFonts w:eastAsia="Times New Roman"/>
                  <w:color w:val="000000" w:themeColor="text1"/>
                  <w:szCs w:val="24"/>
                  <w:u w:val="none"/>
                  <w:lang w:eastAsia="ru-RU"/>
                </w:rPr>
                <w:t>главой XI</w:t>
              </w:r>
              <w:r w:rsidRPr="009D441C">
                <w:rPr>
                  <w:rStyle w:val="a6"/>
                  <w:rFonts w:eastAsia="Times New Roman"/>
                  <w:color w:val="000000" w:themeColor="text1"/>
                  <w:szCs w:val="24"/>
                  <w:u w:val="none"/>
                  <w:vertAlign w:val="superscript"/>
                  <w:lang w:eastAsia="ru-RU"/>
                </w:rPr>
                <w:t> 1</w:t>
              </w:r>
            </w:hyperlink>
            <w:r>
              <w:rPr>
                <w:rFonts w:eastAsia="Times New Roman"/>
                <w:color w:val="000000" w:themeColor="text1"/>
                <w:szCs w:val="24"/>
                <w:lang w:eastAsia="ru-RU"/>
              </w:rPr>
              <w:t> Федерального закона «Об акционерных обществах» уведомлении о праве требовать выкупа ценных бумаг эмитента или требовании о выкупе ценных бумаг эмитента</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19</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выявлении ошибок в ранее раскрытой отчетности </w:t>
            </w:r>
            <w:r>
              <w:rPr>
                <w:color w:val="000000" w:themeColor="text1"/>
                <w:szCs w:val="24"/>
              </w:rPr>
              <w:t>ПАО «Саратовский НПЗ»</w:t>
            </w:r>
            <w:r>
              <w:rPr>
                <w:rFonts w:eastAsia="Times New Roman"/>
                <w:color w:val="000000" w:themeColor="text1"/>
                <w:szCs w:val="24"/>
                <w:lang w:eastAsia="ru-RU"/>
              </w:rPr>
              <w:t xml:space="preserve"> (бухгалтерской (финансовой) отчетности, финансовой отчетности)</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20</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совершении </w:t>
            </w:r>
            <w:r>
              <w:rPr>
                <w:color w:val="000000" w:themeColor="text1"/>
                <w:szCs w:val="24"/>
              </w:rPr>
              <w:t>ПАО «Саратовский НПЗ»</w:t>
            </w:r>
            <w:r>
              <w:rPr>
                <w:rFonts w:eastAsia="Times New Roman"/>
                <w:color w:val="000000" w:themeColor="text1"/>
                <w:szCs w:val="24"/>
                <w:lang w:eastAsia="ru-RU"/>
              </w:rPr>
              <w:t xml:space="preserve"> или подконтрольной </w:t>
            </w:r>
            <w:r>
              <w:rPr>
                <w:color w:val="000000" w:themeColor="text1"/>
                <w:szCs w:val="24"/>
              </w:rPr>
              <w:t>ПАО «Саратовский НПЗ»</w:t>
            </w:r>
            <w:r>
              <w:rPr>
                <w:rFonts w:eastAsia="Times New Roman"/>
                <w:color w:val="000000" w:themeColor="text1"/>
                <w:szCs w:val="24"/>
                <w:lang w:eastAsia="ru-RU"/>
              </w:rPr>
              <w:t xml:space="preserve"> организацией, имеющей для него существенное значение, определяемой в соответствии с </w:t>
            </w:r>
            <w:hyperlink r:id="rId8" w:anchor="/document/74010469/entry/114" w:history="1">
              <w:r w:rsidRPr="009D441C">
                <w:rPr>
                  <w:rStyle w:val="a6"/>
                  <w:rFonts w:eastAsia="Times New Roman"/>
                  <w:color w:val="000000" w:themeColor="text1"/>
                  <w:szCs w:val="24"/>
                  <w:u w:val="none"/>
                  <w:lang w:eastAsia="ru-RU"/>
                </w:rPr>
                <w:t>пунктом 1.14</w:t>
              </w:r>
            </w:hyperlink>
            <w:r>
              <w:rPr>
                <w:rFonts w:eastAsia="Times New Roman"/>
                <w:color w:val="000000" w:themeColor="text1"/>
                <w:szCs w:val="24"/>
                <w:lang w:eastAsia="ru-RU"/>
              </w:rPr>
              <w:t xml:space="preserve"> Положения Банка России </w:t>
            </w:r>
            <w:r>
              <w:rPr>
                <w:color w:val="000000" w:themeColor="text1"/>
                <w:szCs w:val="24"/>
                <w:shd w:val="clear" w:color="auto" w:fill="FFFFFF"/>
              </w:rPr>
              <w:t>от 27 марта 2020 года № 714-П «О раскрытии информации эмитентами эмиссионных ценных бумаг»</w:t>
            </w:r>
            <w:r>
              <w:rPr>
                <w:rStyle w:val="a5"/>
                <w:color w:val="000000" w:themeColor="text1"/>
                <w:szCs w:val="24"/>
                <w:shd w:val="clear" w:color="auto" w:fill="FFFFFF"/>
              </w:rPr>
              <w:footnoteReference w:id="2"/>
            </w:r>
            <w:r>
              <w:rPr>
                <w:rFonts w:eastAsia="Times New Roman"/>
                <w:color w:val="000000" w:themeColor="text1"/>
                <w:szCs w:val="24"/>
                <w:lang w:eastAsia="ru-RU"/>
              </w:rPr>
              <w:t xml:space="preserve"> (далее - подконтрольная эмитенту организация, имеющая для него существенное значение), сделки, размер которой составляет 10 и более процентов стоимости активов, определенной по данным финансовой отчетности ПАО «Саратовский НПЗ», либо в совокупности по данным бухгалтерской (финансовой) отчетности (совокупная стоимость активов) ПАО «Саратовский НПЗ» и подконтрольной ПАО «Саратовский НПЗ» организации, имеющей для него существенное значение, если ПАО «Саратовский НПЗ» не обязан составлять и раскрывать консолидированную финансовую отчетность и сделка совершается подконтрольной ПАО «Саратовский НПЗ» организацией, имеющей для него существенное значение, на последнюю отчетную дату (дату окончания последнего завершенного отчетного периода, предшествующего дате совершения сделки) </w:t>
            </w:r>
            <w:r>
              <w:rPr>
                <w:color w:val="000000" w:themeColor="text1"/>
                <w:szCs w:val="24"/>
                <w:shd w:val="clear" w:color="auto" w:fill="FFFFFF"/>
              </w:rPr>
              <w:t> </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21</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совершении </w:t>
            </w:r>
            <w:r>
              <w:rPr>
                <w:color w:val="000000" w:themeColor="text1"/>
                <w:szCs w:val="24"/>
              </w:rPr>
              <w:t>ПАО «Саратовский НПЗ»</w:t>
            </w:r>
            <w:r>
              <w:rPr>
                <w:rFonts w:eastAsia="Times New Roman"/>
                <w:color w:val="000000" w:themeColor="text1"/>
                <w:szCs w:val="24"/>
                <w:lang w:eastAsia="ru-RU"/>
              </w:rPr>
              <w:t xml:space="preserve"> или подконтрольной </w:t>
            </w:r>
            <w:r>
              <w:rPr>
                <w:color w:val="000000" w:themeColor="text1"/>
                <w:szCs w:val="24"/>
              </w:rPr>
              <w:t>ПАО «Саратовский НПЗ»</w:t>
            </w:r>
            <w:r>
              <w:rPr>
                <w:rFonts w:eastAsia="Times New Roman"/>
                <w:color w:val="000000" w:themeColor="text1"/>
                <w:szCs w:val="24"/>
                <w:lang w:eastAsia="ru-RU"/>
              </w:rPr>
              <w:t xml:space="preserve"> организацией, имеющей для него существенное значение, сделки, в совершении которой имеется заинтересованность, соответствующей признакам, указанным в </w:t>
            </w:r>
            <w:hyperlink r:id="rId9" w:anchor="/document/74010469/entry/351" w:history="1">
              <w:r w:rsidRPr="009D441C">
                <w:rPr>
                  <w:rStyle w:val="a6"/>
                  <w:rFonts w:eastAsia="Times New Roman"/>
                  <w:color w:val="000000" w:themeColor="text1"/>
                  <w:szCs w:val="24"/>
                  <w:u w:val="none"/>
                  <w:lang w:eastAsia="ru-RU"/>
                </w:rPr>
                <w:t>пункте 35.1</w:t>
              </w:r>
            </w:hyperlink>
            <w:r>
              <w:rPr>
                <w:rFonts w:eastAsia="Times New Roman"/>
                <w:color w:val="000000" w:themeColor="text1"/>
                <w:szCs w:val="24"/>
                <w:lang w:eastAsia="ru-RU"/>
              </w:rPr>
              <w:t> Положения Банка России № 714-П</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lastRenderedPageBreak/>
              <w:t>22</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получении </w:t>
            </w:r>
            <w:r>
              <w:rPr>
                <w:color w:val="000000" w:themeColor="text1"/>
                <w:szCs w:val="24"/>
              </w:rPr>
              <w:t>ПАО «Саратовский НПЗ»</w:t>
            </w:r>
            <w:r>
              <w:rPr>
                <w:rFonts w:eastAsia="Times New Roman"/>
                <w:color w:val="000000" w:themeColor="text1"/>
                <w:szCs w:val="24"/>
                <w:lang w:eastAsia="ru-RU"/>
              </w:rPr>
              <w:t xml:space="preserve"> или прекращении у </w:t>
            </w:r>
            <w:r>
              <w:rPr>
                <w:color w:val="000000" w:themeColor="text1"/>
                <w:szCs w:val="24"/>
              </w:rPr>
              <w:t>ПАО «Саратовский НПЗ»</w:t>
            </w:r>
            <w:r>
              <w:rPr>
                <w:rFonts w:eastAsia="Times New Roman"/>
                <w:color w:val="000000" w:themeColor="text1"/>
                <w:szCs w:val="24"/>
                <w:lang w:eastAsia="ru-RU"/>
              </w:rPr>
              <w:t xml:space="preserve"> права прямо или косвенно (через подконтрольных ему лиц) самостоятельно или совместно с иными лицами, связанными с </w:t>
            </w:r>
            <w:r>
              <w:rPr>
                <w:color w:val="000000" w:themeColor="text1"/>
                <w:szCs w:val="24"/>
              </w:rPr>
              <w:t>ПАО «Саратовский НПЗ»</w:t>
            </w:r>
            <w:r>
              <w:rPr>
                <w:rFonts w:eastAsia="Times New Roman"/>
                <w:color w:val="000000" w:themeColor="text1"/>
                <w:szCs w:val="24"/>
                <w:lang w:eastAsia="ru-RU"/>
              </w:rPr>
              <w:t xml:space="preserve">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организации, ценные бумаги которой допущены к организованным торгам, распоряжаться определенным количеством голосов, приходящихся на голосующие акции (доли), составляющие ее уставный капитал, если указанное количество голосов составляет 5 процентов либо стало больше или меньше 5, 10, 15, 20, 25, 30, 50, 75 или 95 процентов общего количества голосов, приходящихся на голосующие акции (доли), составляющие уставный капитал указанной организации</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23</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заключении контролирующим </w:t>
            </w:r>
            <w:r>
              <w:rPr>
                <w:color w:val="000000" w:themeColor="text1"/>
                <w:szCs w:val="24"/>
              </w:rPr>
              <w:t>ПАО «Саратовский НПЗ»</w:t>
            </w:r>
            <w:r>
              <w:rPr>
                <w:rFonts w:eastAsia="Times New Roman"/>
                <w:color w:val="000000" w:themeColor="text1"/>
                <w:szCs w:val="24"/>
                <w:lang w:eastAsia="ru-RU"/>
              </w:rPr>
              <w:t xml:space="preserve">  лицом или подконтрольной </w:t>
            </w:r>
            <w:r>
              <w:rPr>
                <w:color w:val="000000" w:themeColor="text1"/>
                <w:szCs w:val="24"/>
              </w:rPr>
              <w:t>ПАО «Саратовский НПЗ»</w:t>
            </w:r>
            <w:r>
              <w:rPr>
                <w:rFonts w:eastAsia="Times New Roman"/>
                <w:color w:val="000000" w:themeColor="text1"/>
                <w:szCs w:val="24"/>
                <w:lang w:eastAsia="ru-RU"/>
              </w:rPr>
              <w:t xml:space="preserve"> организацией договора, предусматривающего обязанность приобретать ценные бумаги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24</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присвоении рейтинга ценным бумагам и (или) </w:t>
            </w:r>
            <w:r>
              <w:rPr>
                <w:color w:val="000000" w:themeColor="text1"/>
                <w:szCs w:val="24"/>
              </w:rPr>
              <w:t>ПАО «Саратовский НПЗ»</w:t>
            </w:r>
            <w:r>
              <w:rPr>
                <w:rFonts w:eastAsia="Times New Roman"/>
                <w:color w:val="000000" w:themeColor="text1"/>
                <w:szCs w:val="24"/>
                <w:lang w:eastAsia="ru-RU"/>
              </w:rPr>
              <w:t xml:space="preserve">, а также об изменении рейтинга кредитным рейтинговым агентством или иной организацией на основании заключенного с </w:t>
            </w:r>
            <w:r>
              <w:rPr>
                <w:color w:val="000000" w:themeColor="text1"/>
                <w:szCs w:val="24"/>
              </w:rPr>
              <w:t>ПАО «Саратовский НПЗ»</w:t>
            </w:r>
            <w:r>
              <w:rPr>
                <w:rFonts w:eastAsia="Times New Roman"/>
                <w:color w:val="000000" w:themeColor="text1"/>
                <w:szCs w:val="24"/>
                <w:lang w:eastAsia="ru-RU"/>
              </w:rPr>
              <w:t xml:space="preserve"> договора</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25</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возбуждении производства по делу в суде по спору, связанному с созданием </w:t>
            </w:r>
            <w:r>
              <w:rPr>
                <w:color w:val="000000" w:themeColor="text1"/>
                <w:szCs w:val="24"/>
              </w:rPr>
              <w:t>ПАО «Саратовский НПЗ»</w:t>
            </w:r>
            <w:r>
              <w:rPr>
                <w:rFonts w:eastAsia="Times New Roman"/>
                <w:color w:val="000000" w:themeColor="text1"/>
                <w:szCs w:val="24"/>
                <w:lang w:eastAsia="ru-RU"/>
              </w:rPr>
              <w:t xml:space="preserve">, управлением им или участием в нем (далее - корпоративный спор), или иному спору, истцом или ответчиком по которому является </w:t>
            </w:r>
            <w:r>
              <w:rPr>
                <w:color w:val="000000" w:themeColor="text1"/>
                <w:szCs w:val="24"/>
              </w:rPr>
              <w:t>ПАО «Саратовский НПЗ»</w:t>
            </w:r>
            <w:r>
              <w:rPr>
                <w:rFonts w:eastAsia="Times New Roman"/>
                <w:color w:val="000000" w:themeColor="text1"/>
                <w:szCs w:val="24"/>
                <w:lang w:eastAsia="ru-RU"/>
              </w:rPr>
              <w:t xml:space="preserve"> и размер требований по которому составляет 10 и более процентов балансовой стоимости активов, определенной по данным бухгалтерской (финансовой) отчетности </w:t>
            </w:r>
            <w:r>
              <w:rPr>
                <w:color w:val="000000" w:themeColor="text1"/>
                <w:szCs w:val="24"/>
              </w:rPr>
              <w:t>ПАО «Саратовский НПЗ»</w:t>
            </w:r>
            <w:r>
              <w:rPr>
                <w:rFonts w:eastAsia="Times New Roman"/>
                <w:color w:val="000000" w:themeColor="text1"/>
                <w:szCs w:val="24"/>
                <w:lang w:eastAsia="ru-RU"/>
              </w:rPr>
              <w:t xml:space="preserve"> на последнюю отчетную дату (дату окончания последнего завершенного отчетного периода, предшествующего дате принятия судом искового заявления к производству) (далее - существенный спор), а также о принятии судебного акта, которым заканчивается рассмотрение дела по существу по корпоративному спору или существенному спору, за исключением информации, указанной в </w:t>
            </w:r>
            <w:hyperlink r:id="rId10" w:anchor="/document/74010469/entry/416" w:history="1">
              <w:r w:rsidRPr="009D441C">
                <w:rPr>
                  <w:rStyle w:val="a6"/>
                  <w:rFonts w:eastAsia="Times New Roman"/>
                  <w:color w:val="000000" w:themeColor="text1"/>
                  <w:szCs w:val="24"/>
                  <w:u w:val="none"/>
                  <w:lang w:eastAsia="ru-RU"/>
                </w:rPr>
                <w:t>пункте 41.6</w:t>
              </w:r>
            </w:hyperlink>
            <w:r>
              <w:rPr>
                <w:rFonts w:eastAsia="Times New Roman"/>
                <w:color w:val="000000" w:themeColor="text1"/>
                <w:szCs w:val="24"/>
                <w:lang w:eastAsia="ru-RU"/>
              </w:rPr>
              <w:t> Положения Банка России № 714-П</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26</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размещении за пределами Российской Федерации облигаций или иных финансовых инструментов, удостоверяющих заемные обязательства, исполнение которых осуществляется за счет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27</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решении Банка России об освобождении </w:t>
            </w:r>
            <w:r>
              <w:rPr>
                <w:color w:val="000000" w:themeColor="text1"/>
                <w:szCs w:val="24"/>
              </w:rPr>
              <w:t>ПАО «Саратовский НПЗ»</w:t>
            </w:r>
            <w:r>
              <w:rPr>
                <w:rFonts w:eastAsia="Times New Roman"/>
                <w:color w:val="000000" w:themeColor="text1"/>
                <w:szCs w:val="24"/>
                <w:lang w:eastAsia="ru-RU"/>
              </w:rPr>
              <w:t xml:space="preserve"> от обязанности осуществлять раскрытие информации в соответствии со </w:t>
            </w:r>
            <w:hyperlink r:id="rId11" w:anchor="/document/10106464/entry/30" w:history="1">
              <w:r>
                <w:rPr>
                  <w:rStyle w:val="a6"/>
                  <w:rFonts w:eastAsia="Times New Roman"/>
                  <w:color w:val="000000" w:themeColor="text1"/>
                  <w:szCs w:val="24"/>
                  <w:lang w:eastAsia="ru-RU"/>
                </w:rPr>
                <w:t>статьей 30</w:t>
              </w:r>
            </w:hyperlink>
            <w:r>
              <w:rPr>
                <w:rFonts w:eastAsia="Times New Roman"/>
                <w:color w:val="000000" w:themeColor="text1"/>
                <w:szCs w:val="24"/>
                <w:lang w:eastAsia="ru-RU"/>
              </w:rPr>
              <w:t> </w:t>
            </w:r>
            <w:r>
              <w:rPr>
                <w:color w:val="000000" w:themeColor="text1"/>
                <w:szCs w:val="24"/>
                <w:shd w:val="clear" w:color="auto" w:fill="FFFFFF"/>
              </w:rPr>
              <w:t>Федерального закона от 22 апреля 1996 года № 39-ФЗ «О рынке ценных бумаг»</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28</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приобретении (отчуждении) голосующих акций (долей)  </w:t>
            </w:r>
            <w:r>
              <w:rPr>
                <w:color w:val="000000" w:themeColor="text1"/>
                <w:szCs w:val="24"/>
              </w:rPr>
              <w:t xml:space="preserve">ПАО «Саратовский НПЗ» </w:t>
            </w:r>
            <w:r>
              <w:rPr>
                <w:rFonts w:eastAsia="Times New Roman"/>
                <w:color w:val="000000" w:themeColor="text1"/>
                <w:szCs w:val="24"/>
                <w:lang w:eastAsia="ru-RU"/>
              </w:rPr>
              <w:t xml:space="preserve">или депозитарных ценных бумаг, удостоверяющих права в отношении голосующих акций </w:t>
            </w:r>
            <w:r>
              <w:rPr>
                <w:color w:val="000000" w:themeColor="text1"/>
                <w:szCs w:val="24"/>
              </w:rPr>
              <w:t>ПАО «Саратовский НПЗ»</w:t>
            </w:r>
            <w:r>
              <w:rPr>
                <w:rFonts w:eastAsia="Times New Roman"/>
                <w:color w:val="000000" w:themeColor="text1"/>
                <w:szCs w:val="24"/>
                <w:lang w:eastAsia="ru-RU"/>
              </w:rPr>
              <w:t xml:space="preserve">, </w:t>
            </w:r>
            <w:r>
              <w:rPr>
                <w:color w:val="000000" w:themeColor="text1"/>
                <w:szCs w:val="24"/>
              </w:rPr>
              <w:t>ПАО «Саратовский НПЗ»</w:t>
            </w:r>
            <w:r>
              <w:rPr>
                <w:rFonts w:eastAsia="Times New Roman"/>
                <w:color w:val="000000" w:themeColor="text1"/>
                <w:szCs w:val="24"/>
                <w:lang w:eastAsia="ru-RU"/>
              </w:rPr>
              <w:t xml:space="preserve"> или подконтрольной </w:t>
            </w:r>
            <w:r>
              <w:rPr>
                <w:color w:val="000000" w:themeColor="text1"/>
                <w:szCs w:val="24"/>
              </w:rPr>
              <w:t>ПАО «Саратовский НПЗ»</w:t>
            </w:r>
            <w:r>
              <w:rPr>
                <w:rFonts w:eastAsia="Times New Roman"/>
                <w:color w:val="000000" w:themeColor="text1"/>
                <w:szCs w:val="24"/>
                <w:lang w:eastAsia="ru-RU"/>
              </w:rPr>
              <w:t xml:space="preserve"> организацией, за исключением случаев приобретения голосующих акций </w:t>
            </w:r>
            <w:r>
              <w:rPr>
                <w:color w:val="000000" w:themeColor="text1"/>
                <w:szCs w:val="24"/>
              </w:rPr>
              <w:t>ПАО «Саратовский НПЗ»</w:t>
            </w:r>
            <w:r>
              <w:rPr>
                <w:rFonts w:eastAsia="Times New Roman"/>
                <w:color w:val="000000" w:themeColor="text1"/>
                <w:szCs w:val="24"/>
                <w:lang w:eastAsia="ru-RU"/>
              </w:rPr>
              <w:t xml:space="preserve"> (депозитарных ценных бумаг, удостоверяющих права в отношении голосующих акций </w:t>
            </w:r>
            <w:r>
              <w:rPr>
                <w:color w:val="000000" w:themeColor="text1"/>
                <w:szCs w:val="24"/>
              </w:rPr>
              <w:t>ПАО «Саратовский НПЗ»</w:t>
            </w:r>
            <w:r>
              <w:rPr>
                <w:rFonts w:eastAsia="Times New Roman"/>
                <w:color w:val="000000" w:themeColor="text1"/>
                <w:szCs w:val="24"/>
                <w:lang w:eastAsia="ru-RU"/>
              </w:rPr>
              <w:t xml:space="preserve">) в процессе размещения голосующих акций </w:t>
            </w:r>
            <w:r>
              <w:rPr>
                <w:color w:val="000000" w:themeColor="text1"/>
                <w:szCs w:val="24"/>
              </w:rPr>
              <w:t>ПАО «Саратовский НПЗ»</w:t>
            </w:r>
            <w:r>
              <w:rPr>
                <w:rFonts w:eastAsia="Times New Roman"/>
                <w:color w:val="000000" w:themeColor="text1"/>
                <w:szCs w:val="24"/>
                <w:lang w:eastAsia="ru-RU"/>
              </w:rPr>
              <w:t xml:space="preserve"> или приобретения (отчуждения) голосующих акций </w:t>
            </w:r>
            <w:r>
              <w:rPr>
                <w:color w:val="000000" w:themeColor="text1"/>
                <w:szCs w:val="24"/>
              </w:rPr>
              <w:t>ПАО «Саратовский НПЗ»</w:t>
            </w:r>
            <w:r>
              <w:rPr>
                <w:rFonts w:eastAsia="Times New Roman"/>
                <w:color w:val="000000" w:themeColor="text1"/>
                <w:szCs w:val="24"/>
                <w:lang w:eastAsia="ru-RU"/>
              </w:rPr>
              <w:t xml:space="preserve"> (депозитарных ценных бумаг, удостоверяющих права в отношении голосующих акций </w:t>
            </w:r>
            <w:r>
              <w:rPr>
                <w:color w:val="000000" w:themeColor="text1"/>
                <w:szCs w:val="24"/>
              </w:rPr>
              <w:lastRenderedPageBreak/>
              <w:t>ПАО «Саратовский НПЗ»</w:t>
            </w:r>
            <w:r>
              <w:rPr>
                <w:rFonts w:eastAsia="Times New Roman"/>
                <w:color w:val="000000" w:themeColor="text1"/>
                <w:szCs w:val="24"/>
                <w:lang w:eastAsia="ru-RU"/>
              </w:rPr>
              <w:t>) брокером и (или) доверительным управляющим, действующими от своего имени, но за счет клиента во исполнение поручения клиента</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lastRenderedPageBreak/>
              <w:t>29</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возникновении у владельцев конвертируемых ценных бумаг </w:t>
            </w:r>
            <w:r>
              <w:rPr>
                <w:color w:val="000000" w:themeColor="text1"/>
                <w:szCs w:val="24"/>
              </w:rPr>
              <w:t>ПАО «Саратовский НПЗ»</w:t>
            </w:r>
            <w:r>
              <w:rPr>
                <w:rFonts w:eastAsia="Times New Roman"/>
                <w:color w:val="000000" w:themeColor="text1"/>
                <w:szCs w:val="24"/>
                <w:lang w:eastAsia="ru-RU"/>
              </w:rPr>
              <w:t xml:space="preserve"> права требовать от </w:t>
            </w:r>
            <w:r>
              <w:rPr>
                <w:color w:val="000000" w:themeColor="text1"/>
                <w:szCs w:val="24"/>
              </w:rPr>
              <w:t>ПАО «Саратовский НПЗ»</w:t>
            </w:r>
            <w:r>
              <w:rPr>
                <w:rFonts w:eastAsia="Times New Roman"/>
                <w:color w:val="000000" w:themeColor="text1"/>
                <w:szCs w:val="24"/>
                <w:lang w:eastAsia="ru-RU"/>
              </w:rPr>
              <w:t xml:space="preserve"> конвертации принадлежащих им конвертируемых ценных бумаг </w:t>
            </w:r>
            <w:r>
              <w:rPr>
                <w:color w:val="000000" w:themeColor="text1"/>
                <w:szCs w:val="24"/>
              </w:rPr>
              <w:t>ПАО «Саратовский НПЗ»</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30</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составляющая годовую финансовую отчетность </w:t>
            </w:r>
            <w:r>
              <w:rPr>
                <w:color w:val="000000" w:themeColor="text1"/>
                <w:szCs w:val="24"/>
              </w:rPr>
              <w:t>ПАО «Саратовский НПЗ»</w:t>
            </w:r>
            <w:r>
              <w:rPr>
                <w:rFonts w:eastAsia="Times New Roman"/>
                <w:color w:val="000000" w:themeColor="text1"/>
                <w:szCs w:val="24"/>
                <w:lang w:eastAsia="ru-RU"/>
              </w:rPr>
              <w:t xml:space="preserve">, промежуточную финансовую отчетность </w:t>
            </w:r>
            <w:r>
              <w:rPr>
                <w:color w:val="000000" w:themeColor="text1"/>
                <w:szCs w:val="24"/>
              </w:rPr>
              <w:t>ПАО «Саратовский НПЗ»</w:t>
            </w:r>
            <w:r>
              <w:rPr>
                <w:rFonts w:eastAsia="Times New Roman"/>
                <w:color w:val="000000" w:themeColor="text1"/>
                <w:szCs w:val="24"/>
                <w:lang w:eastAsia="ru-RU"/>
              </w:rPr>
              <w:t xml:space="preserve"> за отчетный период, состоящий из 6 месяцев отчетного года, а также информация, содержащаяся в аудиторских заключениях, подготовленных в отношении указанной отчетности, или ином документе, составляемом по результатам проверки промежуточной финансовой отчетности в соответствии со стандартами аудиторской деятельности</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31</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содержащаяся в годовых отчетах </w:t>
            </w:r>
            <w:r>
              <w:rPr>
                <w:color w:val="000000" w:themeColor="text1"/>
                <w:szCs w:val="24"/>
              </w:rPr>
              <w:t>ПАО «Саратовский НПЗ»</w:t>
            </w:r>
            <w:r>
              <w:rPr>
                <w:rFonts w:eastAsia="Times New Roman"/>
                <w:color w:val="000000" w:themeColor="text1"/>
                <w:szCs w:val="24"/>
                <w:lang w:eastAsia="ru-RU"/>
              </w:rPr>
              <w:t>, за исключением информации, которая ранее уже была раскрыта</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32</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составляющая промежуточную бухгалтерскую (финансовую) отчетность </w:t>
            </w:r>
            <w:r>
              <w:rPr>
                <w:color w:val="000000" w:themeColor="text1"/>
                <w:szCs w:val="24"/>
              </w:rPr>
              <w:t>ПАО «Саратовский НПЗ»</w:t>
            </w:r>
            <w:r>
              <w:rPr>
                <w:rFonts w:eastAsia="Times New Roman"/>
                <w:color w:val="000000" w:themeColor="text1"/>
                <w:szCs w:val="24"/>
                <w:lang w:eastAsia="ru-RU"/>
              </w:rPr>
              <w:t xml:space="preserve"> за отчетный период, состоящий из 3, 6 или 9 месяцев отчетного года, вместе с информацией, содержащейся в аудиторских заключениях, подготовленных в отношении указанной отчетности, в случае если в отношении указанной отчетности проведен аудит, а также информация, составляющая годовую бухгалтерскую (финансовую) отчетность </w:t>
            </w:r>
            <w:r>
              <w:rPr>
                <w:color w:val="000000" w:themeColor="text1"/>
                <w:szCs w:val="24"/>
              </w:rPr>
              <w:t>ПАО «Саратовский НПЗ»</w:t>
            </w:r>
            <w:r>
              <w:rPr>
                <w:rFonts w:eastAsia="Times New Roman"/>
                <w:color w:val="000000" w:themeColor="text1"/>
                <w:szCs w:val="24"/>
                <w:lang w:eastAsia="ru-RU"/>
              </w:rPr>
              <w:t>, вместе с аудиторским заключением о ней, если в отношении нее проведен аудит</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33</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Информация, содержащаяся в отчетах эмитентов эмиссионных ценных бумаг, составленных</w:t>
            </w:r>
            <w:r>
              <w:rPr>
                <w:color w:val="000000" w:themeColor="text1"/>
                <w:szCs w:val="24"/>
              </w:rPr>
              <w:t xml:space="preserve"> ПАО «Саратовский НПЗ»</w:t>
            </w:r>
            <w:r>
              <w:rPr>
                <w:rFonts w:eastAsia="Times New Roman"/>
                <w:color w:val="000000" w:themeColor="text1"/>
                <w:szCs w:val="24"/>
                <w:lang w:eastAsia="ru-RU"/>
              </w:rPr>
              <w:t xml:space="preserve"> за отчетные периоды, состоящие из 6 месяцев и 12 месяцев, за исключением информации, которая ранее уже была раскрыта</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34</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содержащаяся в проспекте ценных бумаг </w:t>
            </w:r>
            <w:r>
              <w:rPr>
                <w:color w:val="000000" w:themeColor="text1"/>
                <w:szCs w:val="24"/>
              </w:rPr>
              <w:t>ПАО «Саратовский НПЗ»</w:t>
            </w:r>
            <w:r>
              <w:rPr>
                <w:rFonts w:eastAsia="Times New Roman"/>
                <w:color w:val="000000" w:themeColor="text1"/>
                <w:szCs w:val="24"/>
                <w:lang w:eastAsia="ru-RU"/>
              </w:rPr>
              <w:t>, за исключением информации, которая ранее уже была раскрыта</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35</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составляющая условия размещения ценных бумаг, определенные </w:t>
            </w:r>
            <w:r>
              <w:rPr>
                <w:color w:val="000000" w:themeColor="text1"/>
                <w:szCs w:val="24"/>
              </w:rPr>
              <w:t>ПАО «Саратовский НПЗ»</w:t>
            </w:r>
            <w:r>
              <w:rPr>
                <w:rFonts w:eastAsia="Times New Roman"/>
                <w:color w:val="000000" w:themeColor="text1"/>
                <w:szCs w:val="24"/>
                <w:lang w:eastAsia="ru-RU"/>
              </w:rPr>
              <w:t xml:space="preserve"> в отдельном документе, за исключением информации, которая ранее уже была раскрыта (в случае отсутствия проспекта ценных бумаг или отсутствия в проспекте ценных бумаг услов</w:t>
            </w:r>
            <w:bookmarkStart w:id="0" w:name="_GoBack"/>
            <w:bookmarkEnd w:id="0"/>
            <w:r>
              <w:rPr>
                <w:rFonts w:eastAsia="Times New Roman"/>
                <w:color w:val="000000" w:themeColor="text1"/>
                <w:szCs w:val="24"/>
                <w:lang w:eastAsia="ru-RU"/>
              </w:rPr>
              <w:t>ий их размещения)</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36</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заключении </w:t>
            </w:r>
            <w:r>
              <w:rPr>
                <w:color w:val="000000" w:themeColor="text1"/>
                <w:szCs w:val="24"/>
              </w:rPr>
              <w:t>ПАО «Саратовский НПЗ»</w:t>
            </w:r>
            <w:r>
              <w:rPr>
                <w:rFonts w:eastAsia="Times New Roman"/>
                <w:color w:val="000000" w:themeColor="text1"/>
                <w:szCs w:val="24"/>
                <w:lang w:eastAsia="ru-RU"/>
              </w:rPr>
              <w:t xml:space="preserve"> договора о стратегическом партнерстве или иного договора (сделки), за исключением договоров (сделок), предусмотренных </w:t>
            </w:r>
            <w:hyperlink r:id="rId12" w:anchor="/document/403024918/entry/1121" w:history="1">
              <w:r w:rsidRPr="009D441C">
                <w:rPr>
                  <w:rStyle w:val="a6"/>
                  <w:rFonts w:eastAsia="Times New Roman"/>
                  <w:color w:val="000000" w:themeColor="text1"/>
                  <w:szCs w:val="24"/>
                  <w:u w:val="none"/>
                  <w:lang w:eastAsia="ru-RU"/>
                </w:rPr>
                <w:t>пунктами 20, 21 и 24</w:t>
              </w:r>
            </w:hyperlink>
            <w:r w:rsidRPr="009D441C">
              <w:rPr>
                <w:rFonts w:eastAsia="Times New Roman"/>
                <w:color w:val="000000" w:themeColor="text1"/>
                <w:szCs w:val="24"/>
                <w:lang w:eastAsia="ru-RU"/>
              </w:rPr>
              <w:t xml:space="preserve"> </w:t>
            </w:r>
            <w:r>
              <w:rPr>
                <w:rFonts w:eastAsia="Times New Roman"/>
                <w:color w:val="000000" w:themeColor="text1"/>
                <w:szCs w:val="24"/>
                <w:lang w:eastAsia="ru-RU"/>
              </w:rPr>
              <w:t xml:space="preserve">настоящего перечня, если заключение такого договора (сделки) может оказать существенное влияние на цену ценных бумаг </w:t>
            </w:r>
            <w:r>
              <w:rPr>
                <w:color w:val="000000" w:themeColor="text1"/>
                <w:szCs w:val="24"/>
              </w:rPr>
              <w:t>ПАО «Саратовский НПЗ»</w:t>
            </w:r>
            <w:r>
              <w:rPr>
                <w:rFonts w:eastAsia="Times New Roman"/>
                <w:color w:val="000000" w:themeColor="text1"/>
                <w:szCs w:val="24"/>
                <w:lang w:eastAsia="ru-RU"/>
              </w:rPr>
              <w:t>, допущенных к организованным торгам (в отношении которых подана заявка о допуске к организованным торгам)</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37</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 xml:space="preserve">Информация о принятии судом, арбитражным судом, Федеральной службой судебных приставов обеспечительных мер (в том числе наложения ареста) в отношении денежных средств или иного имущества, принадлежащего </w:t>
            </w:r>
            <w:r>
              <w:rPr>
                <w:color w:val="000000" w:themeColor="text1"/>
                <w:szCs w:val="24"/>
              </w:rPr>
              <w:t>ПАО «Саратовский НПЗ»</w:t>
            </w:r>
            <w:r>
              <w:rPr>
                <w:rFonts w:eastAsia="Times New Roman"/>
                <w:color w:val="000000" w:themeColor="text1"/>
                <w:szCs w:val="24"/>
                <w:lang w:eastAsia="ru-RU"/>
              </w:rPr>
              <w:t xml:space="preserve">, контролирующей его организации, подконтрольной </w:t>
            </w:r>
            <w:r>
              <w:rPr>
                <w:color w:val="000000" w:themeColor="text1"/>
                <w:szCs w:val="24"/>
              </w:rPr>
              <w:t>ПАО «Саратовский НПЗ»</w:t>
            </w:r>
            <w:r>
              <w:rPr>
                <w:rFonts w:eastAsia="Times New Roman"/>
                <w:color w:val="000000" w:themeColor="text1"/>
                <w:szCs w:val="24"/>
                <w:lang w:eastAsia="ru-RU"/>
              </w:rPr>
              <w:t xml:space="preserve"> организации, имеющей для него существенное значение, либо предоставившему обеспечение по допущенным к организованным торгам (в отношении которых подана заявка о допуске к организованным торгам) облигациям </w:t>
            </w:r>
            <w:r>
              <w:rPr>
                <w:color w:val="000000" w:themeColor="text1"/>
                <w:szCs w:val="24"/>
              </w:rPr>
              <w:t>ПАО «Саратовский НПЗ»</w:t>
            </w:r>
            <w:r>
              <w:rPr>
                <w:rFonts w:eastAsia="Times New Roman"/>
                <w:color w:val="000000" w:themeColor="text1"/>
                <w:szCs w:val="24"/>
                <w:lang w:eastAsia="ru-RU"/>
              </w:rPr>
              <w:t xml:space="preserve"> лицу, не являющемуся Российской Федерацией, предоставившей государственную гарантию Российской Федерации, субъектом Российской Федерации, предоставившим государственную гарантию субъекта Российской Федерации, или муниципальным </w:t>
            </w:r>
            <w:r>
              <w:rPr>
                <w:rFonts w:eastAsia="Times New Roman"/>
                <w:color w:val="000000" w:themeColor="text1"/>
                <w:szCs w:val="24"/>
                <w:lang w:eastAsia="ru-RU"/>
              </w:rPr>
              <w:lastRenderedPageBreak/>
              <w:t>образованием, предоставившим муниципальную гарантию, составляющих 10 или более процентов балансовой стоимости активов указанных лиц на день окончания последнего завершенного отчетного периода, предшествующего принятию обеспечительных мер</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lastRenderedPageBreak/>
              <w:t>38</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Информация о приобретении лицом или прекращении у лица права прямо или косвенно (через подконтрольных ему лиц) самостоятельно или совместно с иными лицами, связанными с ним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организации, предоставившей поручительство, гарантию или залог по облигациям эмитента, допущенным к организованным торгам (в отношении которых подана заявка о допуске к организованным торгам), если лицо, предоставившее такое поручительство, гарантию или залог по таким облигациям, не является Российской Федерацией, предоставившей государственную гарантию Российской Федерации, субъектом Российской Федерации, предоставившим государственную гарантию субъекта Российской Федерации, или муниципальным образованием, предоставившим муниципальную гарантию, распоряжаться определенным количеством голосов, приходящихся на голосующие акции (доли), составляющие ее уставный капитал, если указанное количество голосов составляет 5 процентов либо стало больше или меньше 5, 10, 15, 20, 25, 30, 50, 75 или 95 процентов общего количества голосов, приходящихся на голосующие акции (доли), составляющие уставный капитал указанной организации</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39</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Информация о возбуждении уголовного дела (поступившая эмитенту от органов предварительного следствия или органов дознания) в отношении лица, входящего в состав органов управления эмитента, организации, контролирующей эмитента, подконтрольной эмитенту организации, имеющей для него существенное значение</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40</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Информация, содержащаяся в материалах, на основании которых органами управления эмитента, за исключением общего собрания акционеров, принимаются решения, которые могут оказать существенное влияние на цену ценных бумаг эмитента, допущенных к организованным торгам (в отношении которых подана заявка о допуске к организованным торгам), за исключением информации, которая ранее уже была раскрыта</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41</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sidRPr="00EB3E8E">
              <w:rPr>
                <w:rFonts w:eastAsia="Times New Roman"/>
                <w:color w:val="000000" w:themeColor="text1"/>
                <w:szCs w:val="24"/>
                <w:lang w:eastAsia="ru-RU"/>
              </w:rPr>
              <w:t>Информация о произошедшей на эксплуатируемых эмитентом опасных производственных объектах, определяемых в соответствии с </w:t>
            </w:r>
            <w:hyperlink r:id="rId13" w:anchor="/document/11900785/entry/0" w:history="1">
              <w:r w:rsidRPr="009D441C">
                <w:rPr>
                  <w:rStyle w:val="a6"/>
                  <w:rFonts w:eastAsia="Times New Roman"/>
                  <w:color w:val="000000" w:themeColor="text1"/>
                  <w:szCs w:val="24"/>
                  <w:u w:val="none"/>
                  <w:lang w:eastAsia="ru-RU"/>
                </w:rPr>
                <w:t>Федеральным законом</w:t>
              </w:r>
            </w:hyperlink>
            <w:r w:rsidRPr="009D441C">
              <w:rPr>
                <w:rFonts w:eastAsia="Times New Roman"/>
                <w:color w:val="000000" w:themeColor="text1"/>
                <w:szCs w:val="24"/>
                <w:lang w:eastAsia="ru-RU"/>
              </w:rPr>
              <w:t> </w:t>
            </w:r>
            <w:r w:rsidRPr="00EB3E8E">
              <w:rPr>
                <w:rFonts w:eastAsia="Times New Roman"/>
                <w:color w:val="000000" w:themeColor="text1"/>
                <w:szCs w:val="24"/>
                <w:lang w:eastAsia="ru-RU"/>
              </w:rPr>
              <w:t>от 21 июля 1997 года № 116-ФЗ «О промышленной безопасности опасных производственных объектов», аварии, если такая информация может оказать существенное влияние на цену ценных бумаг эмитента, допущенных к организованным торгам (в отношении которых подана заявка о допуске к организованным торгам)</w:t>
            </w:r>
          </w:p>
        </w:tc>
      </w:tr>
      <w:tr w:rsidR="00EB3E8E" w:rsidTr="00EB3E8E">
        <w:tc>
          <w:tcPr>
            <w:tcW w:w="56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rPr>
                <w:color w:val="000000" w:themeColor="text1"/>
                <w:szCs w:val="24"/>
              </w:rPr>
            </w:pPr>
            <w:r>
              <w:rPr>
                <w:color w:val="000000" w:themeColor="text1"/>
                <w:szCs w:val="24"/>
              </w:rPr>
              <w:t>42</w:t>
            </w:r>
          </w:p>
        </w:tc>
        <w:tc>
          <w:tcPr>
            <w:tcW w:w="9072" w:type="dxa"/>
            <w:tcBorders>
              <w:top w:val="single" w:sz="4" w:space="0" w:color="auto"/>
              <w:left w:val="single" w:sz="4" w:space="0" w:color="auto"/>
              <w:bottom w:val="single" w:sz="4" w:space="0" w:color="auto"/>
              <w:right w:val="single" w:sz="4" w:space="0" w:color="auto"/>
            </w:tcBorders>
            <w:hideMark/>
          </w:tcPr>
          <w:p w:rsidR="00EB3E8E" w:rsidRDefault="00EB3E8E">
            <w:pPr>
              <w:spacing w:line="276" w:lineRule="auto"/>
              <w:jc w:val="both"/>
              <w:rPr>
                <w:color w:val="000000" w:themeColor="text1"/>
                <w:szCs w:val="24"/>
              </w:rPr>
            </w:pPr>
            <w:r>
              <w:rPr>
                <w:rFonts w:eastAsia="Times New Roman"/>
                <w:color w:val="000000" w:themeColor="text1"/>
                <w:szCs w:val="24"/>
                <w:lang w:eastAsia="ru-RU"/>
              </w:rPr>
              <w:t>Информация об иных событиях (действиях), оказывающих, по мнению эмитента, существенное влияние на стоимость или котировки его ценных бумаг</w:t>
            </w:r>
          </w:p>
        </w:tc>
      </w:tr>
    </w:tbl>
    <w:p w:rsidR="00EB3E8E" w:rsidRDefault="00EB3E8E" w:rsidP="00EB3E8E">
      <w:pPr>
        <w:rPr>
          <w:color w:val="000000" w:themeColor="text1"/>
          <w:szCs w:val="24"/>
        </w:rPr>
      </w:pPr>
    </w:p>
    <w:p w:rsidR="00EB3E8E" w:rsidRDefault="00EB3E8E" w:rsidP="00EB3E8E">
      <w:pPr>
        <w:rPr>
          <w:rFonts w:eastAsia="Times New Roman"/>
          <w:sz w:val="20"/>
          <w:szCs w:val="20"/>
          <w:lang w:eastAsia="ru-RU"/>
        </w:rPr>
      </w:pPr>
    </w:p>
    <w:p w:rsidR="00A41458" w:rsidRDefault="00A41458"/>
    <w:sectPr w:rsidR="00A414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584" w:rsidRDefault="00926584" w:rsidP="00EB3E8E">
      <w:r>
        <w:separator/>
      </w:r>
    </w:p>
  </w:endnote>
  <w:endnote w:type="continuationSeparator" w:id="0">
    <w:p w:rsidR="00926584" w:rsidRDefault="00926584" w:rsidP="00EB3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584" w:rsidRDefault="00926584" w:rsidP="00EB3E8E">
      <w:r>
        <w:separator/>
      </w:r>
    </w:p>
  </w:footnote>
  <w:footnote w:type="continuationSeparator" w:id="0">
    <w:p w:rsidR="00926584" w:rsidRDefault="00926584" w:rsidP="00EB3E8E">
      <w:r>
        <w:continuationSeparator/>
      </w:r>
    </w:p>
  </w:footnote>
  <w:footnote w:id="1">
    <w:p w:rsidR="00EB3E8E" w:rsidRDefault="00EB3E8E" w:rsidP="00EB3E8E">
      <w:pPr>
        <w:pStyle w:val="a3"/>
        <w:rPr>
          <w:rFonts w:ascii="Times New Roman" w:hAnsi="Times New Roman" w:cs="Times New Roman"/>
          <w:sz w:val="24"/>
          <w:szCs w:val="24"/>
        </w:rPr>
      </w:pPr>
      <w:r>
        <w:rPr>
          <w:rStyle w:val="a5"/>
        </w:rPr>
        <w:footnoteRef/>
      </w:r>
      <w:r>
        <w:t xml:space="preserve"> </w:t>
      </w:r>
      <w:r>
        <w:rPr>
          <w:rFonts w:ascii="Times New Roman" w:eastAsia="Times New Roman" w:hAnsi="Times New Roman" w:cs="Times New Roman"/>
          <w:sz w:val="24"/>
          <w:szCs w:val="24"/>
          <w:lang w:eastAsia="ru-RU"/>
        </w:rPr>
        <w:t>Далее - Федеральный закон «Об акционерных обществах»</w:t>
      </w:r>
    </w:p>
  </w:footnote>
  <w:footnote w:id="2">
    <w:p w:rsidR="00EB3E8E" w:rsidRDefault="00EB3E8E" w:rsidP="00EB3E8E">
      <w:pPr>
        <w:pStyle w:val="a3"/>
        <w:rPr>
          <w:rFonts w:ascii="Times New Roman" w:eastAsia="Times New Roman" w:hAnsi="Times New Roman" w:cs="Times New Roman"/>
          <w:sz w:val="24"/>
          <w:szCs w:val="24"/>
          <w:lang w:eastAsia="ru-RU"/>
        </w:rPr>
      </w:pPr>
      <w:r>
        <w:rPr>
          <w:rStyle w:val="a5"/>
          <w:rFonts w:ascii="Times New Roman" w:hAnsi="Times New Roman" w:cs="Times New Roman"/>
          <w:sz w:val="24"/>
          <w:szCs w:val="24"/>
        </w:rPr>
        <w:footnoteRef/>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Далее - Положение Банка России № 714-П</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BB9"/>
    <w:rsid w:val="0000242E"/>
    <w:rsid w:val="000029E2"/>
    <w:rsid w:val="00002D61"/>
    <w:rsid w:val="000035BC"/>
    <w:rsid w:val="00004488"/>
    <w:rsid w:val="00005CD1"/>
    <w:rsid w:val="00007D28"/>
    <w:rsid w:val="00010BCC"/>
    <w:rsid w:val="00012368"/>
    <w:rsid w:val="00013B26"/>
    <w:rsid w:val="00021C0C"/>
    <w:rsid w:val="00022DD0"/>
    <w:rsid w:val="0002500B"/>
    <w:rsid w:val="00025277"/>
    <w:rsid w:val="000252C7"/>
    <w:rsid w:val="00027C8B"/>
    <w:rsid w:val="0003720D"/>
    <w:rsid w:val="00037E6E"/>
    <w:rsid w:val="0004055E"/>
    <w:rsid w:val="00040672"/>
    <w:rsid w:val="00040BEE"/>
    <w:rsid w:val="0004223D"/>
    <w:rsid w:val="0004289A"/>
    <w:rsid w:val="00043292"/>
    <w:rsid w:val="0004343C"/>
    <w:rsid w:val="00043FC8"/>
    <w:rsid w:val="00044144"/>
    <w:rsid w:val="0005097B"/>
    <w:rsid w:val="00056FF1"/>
    <w:rsid w:val="00060F68"/>
    <w:rsid w:val="000618BF"/>
    <w:rsid w:val="00062E10"/>
    <w:rsid w:val="000635C7"/>
    <w:rsid w:val="00063C02"/>
    <w:rsid w:val="000640F4"/>
    <w:rsid w:val="0006419C"/>
    <w:rsid w:val="00066878"/>
    <w:rsid w:val="00067144"/>
    <w:rsid w:val="00067769"/>
    <w:rsid w:val="00067849"/>
    <w:rsid w:val="000702A9"/>
    <w:rsid w:val="00074F0F"/>
    <w:rsid w:val="0007502F"/>
    <w:rsid w:val="00077459"/>
    <w:rsid w:val="00080D2D"/>
    <w:rsid w:val="00080E36"/>
    <w:rsid w:val="00081DCC"/>
    <w:rsid w:val="00083DEE"/>
    <w:rsid w:val="00084289"/>
    <w:rsid w:val="0008492C"/>
    <w:rsid w:val="000864CF"/>
    <w:rsid w:val="0009315F"/>
    <w:rsid w:val="000947CE"/>
    <w:rsid w:val="000961BE"/>
    <w:rsid w:val="00096E95"/>
    <w:rsid w:val="00097322"/>
    <w:rsid w:val="000A3EBC"/>
    <w:rsid w:val="000A4404"/>
    <w:rsid w:val="000A4652"/>
    <w:rsid w:val="000A537E"/>
    <w:rsid w:val="000A58A1"/>
    <w:rsid w:val="000B0287"/>
    <w:rsid w:val="000B064B"/>
    <w:rsid w:val="000B2134"/>
    <w:rsid w:val="000B2B45"/>
    <w:rsid w:val="000B3DEC"/>
    <w:rsid w:val="000B42B2"/>
    <w:rsid w:val="000B4E4B"/>
    <w:rsid w:val="000B536B"/>
    <w:rsid w:val="000C3831"/>
    <w:rsid w:val="000C5900"/>
    <w:rsid w:val="000D18AD"/>
    <w:rsid w:val="000D228A"/>
    <w:rsid w:val="000D2E24"/>
    <w:rsid w:val="000D49F9"/>
    <w:rsid w:val="000D678E"/>
    <w:rsid w:val="000E0D66"/>
    <w:rsid w:val="000E3BDC"/>
    <w:rsid w:val="000E661E"/>
    <w:rsid w:val="000E677A"/>
    <w:rsid w:val="000E6780"/>
    <w:rsid w:val="000E67F8"/>
    <w:rsid w:val="000E6E9B"/>
    <w:rsid w:val="000F2C6D"/>
    <w:rsid w:val="000F3540"/>
    <w:rsid w:val="000F4BE1"/>
    <w:rsid w:val="000F5EE6"/>
    <w:rsid w:val="000F6B17"/>
    <w:rsid w:val="00100EA1"/>
    <w:rsid w:val="00101B2E"/>
    <w:rsid w:val="0010235C"/>
    <w:rsid w:val="001025BD"/>
    <w:rsid w:val="00102870"/>
    <w:rsid w:val="00106C97"/>
    <w:rsid w:val="001070B4"/>
    <w:rsid w:val="00112362"/>
    <w:rsid w:val="001129BE"/>
    <w:rsid w:val="001133D6"/>
    <w:rsid w:val="00113BD8"/>
    <w:rsid w:val="00114058"/>
    <w:rsid w:val="00114262"/>
    <w:rsid w:val="00115218"/>
    <w:rsid w:val="00120AB9"/>
    <w:rsid w:val="001215D3"/>
    <w:rsid w:val="00122455"/>
    <w:rsid w:val="00122E9A"/>
    <w:rsid w:val="001272BB"/>
    <w:rsid w:val="001336FD"/>
    <w:rsid w:val="00133B14"/>
    <w:rsid w:val="0013665E"/>
    <w:rsid w:val="001371AB"/>
    <w:rsid w:val="0014080D"/>
    <w:rsid w:val="00141DDB"/>
    <w:rsid w:val="00144023"/>
    <w:rsid w:val="001453CD"/>
    <w:rsid w:val="00145955"/>
    <w:rsid w:val="00146120"/>
    <w:rsid w:val="001462C4"/>
    <w:rsid w:val="00146C1E"/>
    <w:rsid w:val="00147250"/>
    <w:rsid w:val="001504D6"/>
    <w:rsid w:val="00151BAF"/>
    <w:rsid w:val="00153B0B"/>
    <w:rsid w:val="00154B00"/>
    <w:rsid w:val="00154B80"/>
    <w:rsid w:val="00154F38"/>
    <w:rsid w:val="00156F20"/>
    <w:rsid w:val="001570A4"/>
    <w:rsid w:val="001571E9"/>
    <w:rsid w:val="00157206"/>
    <w:rsid w:val="001579AB"/>
    <w:rsid w:val="00157B34"/>
    <w:rsid w:val="00161405"/>
    <w:rsid w:val="00161710"/>
    <w:rsid w:val="00162CFA"/>
    <w:rsid w:val="00166931"/>
    <w:rsid w:val="00167F9A"/>
    <w:rsid w:val="001706E3"/>
    <w:rsid w:val="00170AFA"/>
    <w:rsid w:val="00173C3B"/>
    <w:rsid w:val="0017403B"/>
    <w:rsid w:val="00174886"/>
    <w:rsid w:val="00175007"/>
    <w:rsid w:val="00175BE8"/>
    <w:rsid w:val="00175DB9"/>
    <w:rsid w:val="0017691D"/>
    <w:rsid w:val="00176FCA"/>
    <w:rsid w:val="0018163F"/>
    <w:rsid w:val="001836CF"/>
    <w:rsid w:val="00183CFE"/>
    <w:rsid w:val="00185023"/>
    <w:rsid w:val="001856E8"/>
    <w:rsid w:val="00191FDD"/>
    <w:rsid w:val="00192DD0"/>
    <w:rsid w:val="00192E4B"/>
    <w:rsid w:val="00192E86"/>
    <w:rsid w:val="00195F1E"/>
    <w:rsid w:val="00196FF6"/>
    <w:rsid w:val="001A1640"/>
    <w:rsid w:val="001A168A"/>
    <w:rsid w:val="001A16EF"/>
    <w:rsid w:val="001A1C08"/>
    <w:rsid w:val="001A23D0"/>
    <w:rsid w:val="001A25A2"/>
    <w:rsid w:val="001A469A"/>
    <w:rsid w:val="001A4AC6"/>
    <w:rsid w:val="001A4C3B"/>
    <w:rsid w:val="001B0114"/>
    <w:rsid w:val="001B229D"/>
    <w:rsid w:val="001B30BC"/>
    <w:rsid w:val="001B7331"/>
    <w:rsid w:val="001C0499"/>
    <w:rsid w:val="001C1670"/>
    <w:rsid w:val="001C26DB"/>
    <w:rsid w:val="001C48D4"/>
    <w:rsid w:val="001C49A5"/>
    <w:rsid w:val="001C6746"/>
    <w:rsid w:val="001D041F"/>
    <w:rsid w:val="001D18BB"/>
    <w:rsid w:val="001D2111"/>
    <w:rsid w:val="001D2744"/>
    <w:rsid w:val="001D5710"/>
    <w:rsid w:val="001E00B4"/>
    <w:rsid w:val="001E0CA4"/>
    <w:rsid w:val="001E30E6"/>
    <w:rsid w:val="001E33A2"/>
    <w:rsid w:val="001E3FC3"/>
    <w:rsid w:val="001E721D"/>
    <w:rsid w:val="001E7C2B"/>
    <w:rsid w:val="001F05C7"/>
    <w:rsid w:val="001F3079"/>
    <w:rsid w:val="001F3AAF"/>
    <w:rsid w:val="001F6990"/>
    <w:rsid w:val="001F7D43"/>
    <w:rsid w:val="001F7FB0"/>
    <w:rsid w:val="00203168"/>
    <w:rsid w:val="002047A4"/>
    <w:rsid w:val="00204B89"/>
    <w:rsid w:val="00204CB1"/>
    <w:rsid w:val="00205B5C"/>
    <w:rsid w:val="00205DC2"/>
    <w:rsid w:val="00211855"/>
    <w:rsid w:val="00212BED"/>
    <w:rsid w:val="0021323B"/>
    <w:rsid w:val="00213D4B"/>
    <w:rsid w:val="00216764"/>
    <w:rsid w:val="00216AF6"/>
    <w:rsid w:val="00216EEB"/>
    <w:rsid w:val="0022029C"/>
    <w:rsid w:val="002217A0"/>
    <w:rsid w:val="00221D8E"/>
    <w:rsid w:val="00222C5D"/>
    <w:rsid w:val="00223206"/>
    <w:rsid w:val="00223306"/>
    <w:rsid w:val="00225C76"/>
    <w:rsid w:val="00227598"/>
    <w:rsid w:val="002275B2"/>
    <w:rsid w:val="00230FC6"/>
    <w:rsid w:val="002335C3"/>
    <w:rsid w:val="0023433D"/>
    <w:rsid w:val="00236EEA"/>
    <w:rsid w:val="0023746C"/>
    <w:rsid w:val="00241821"/>
    <w:rsid w:val="0024259F"/>
    <w:rsid w:val="0024308E"/>
    <w:rsid w:val="00243162"/>
    <w:rsid w:val="0024446B"/>
    <w:rsid w:val="002461A5"/>
    <w:rsid w:val="002479FD"/>
    <w:rsid w:val="00252E4F"/>
    <w:rsid w:val="00255793"/>
    <w:rsid w:val="00261981"/>
    <w:rsid w:val="0026292A"/>
    <w:rsid w:val="00262D12"/>
    <w:rsid w:val="00262E2F"/>
    <w:rsid w:val="002635EB"/>
    <w:rsid w:val="002649F7"/>
    <w:rsid w:val="00266505"/>
    <w:rsid w:val="0027035E"/>
    <w:rsid w:val="00270924"/>
    <w:rsid w:val="00271AD7"/>
    <w:rsid w:val="00271DA4"/>
    <w:rsid w:val="00273031"/>
    <w:rsid w:val="00274FFE"/>
    <w:rsid w:val="00275A08"/>
    <w:rsid w:val="002830E0"/>
    <w:rsid w:val="00287E94"/>
    <w:rsid w:val="0029053E"/>
    <w:rsid w:val="00290546"/>
    <w:rsid w:val="00291BF1"/>
    <w:rsid w:val="0029345A"/>
    <w:rsid w:val="0029576A"/>
    <w:rsid w:val="00295857"/>
    <w:rsid w:val="00296E7F"/>
    <w:rsid w:val="00297786"/>
    <w:rsid w:val="002A0816"/>
    <w:rsid w:val="002A1554"/>
    <w:rsid w:val="002A4AC8"/>
    <w:rsid w:val="002A5F39"/>
    <w:rsid w:val="002A6D08"/>
    <w:rsid w:val="002A6E64"/>
    <w:rsid w:val="002A7A52"/>
    <w:rsid w:val="002B003A"/>
    <w:rsid w:val="002B46C9"/>
    <w:rsid w:val="002B4AC6"/>
    <w:rsid w:val="002C0AA3"/>
    <w:rsid w:val="002C0CB1"/>
    <w:rsid w:val="002C13E0"/>
    <w:rsid w:val="002C15A5"/>
    <w:rsid w:val="002C207F"/>
    <w:rsid w:val="002C4347"/>
    <w:rsid w:val="002C5AF5"/>
    <w:rsid w:val="002C5E9C"/>
    <w:rsid w:val="002C7811"/>
    <w:rsid w:val="002D1574"/>
    <w:rsid w:val="002D27D2"/>
    <w:rsid w:val="002D2BDE"/>
    <w:rsid w:val="002D64A9"/>
    <w:rsid w:val="002E0497"/>
    <w:rsid w:val="002E108F"/>
    <w:rsid w:val="002E3AC4"/>
    <w:rsid w:val="002E4287"/>
    <w:rsid w:val="002E5184"/>
    <w:rsid w:val="002E562E"/>
    <w:rsid w:val="002E6661"/>
    <w:rsid w:val="002E722C"/>
    <w:rsid w:val="002F0E74"/>
    <w:rsid w:val="002F1DE1"/>
    <w:rsid w:val="002F2054"/>
    <w:rsid w:val="002F3336"/>
    <w:rsid w:val="002F3D2D"/>
    <w:rsid w:val="002F4A2F"/>
    <w:rsid w:val="002F5742"/>
    <w:rsid w:val="0030175D"/>
    <w:rsid w:val="00304466"/>
    <w:rsid w:val="00311917"/>
    <w:rsid w:val="0031378F"/>
    <w:rsid w:val="00313BA7"/>
    <w:rsid w:val="00313EC3"/>
    <w:rsid w:val="00315445"/>
    <w:rsid w:val="003161B7"/>
    <w:rsid w:val="003173DD"/>
    <w:rsid w:val="0031775E"/>
    <w:rsid w:val="00320403"/>
    <w:rsid w:val="003205D8"/>
    <w:rsid w:val="003218D9"/>
    <w:rsid w:val="00321D17"/>
    <w:rsid w:val="00321DE6"/>
    <w:rsid w:val="00323851"/>
    <w:rsid w:val="00325CAC"/>
    <w:rsid w:val="003273FD"/>
    <w:rsid w:val="0033139D"/>
    <w:rsid w:val="0033215E"/>
    <w:rsid w:val="00332731"/>
    <w:rsid w:val="00334689"/>
    <w:rsid w:val="00334A6E"/>
    <w:rsid w:val="00335BA7"/>
    <w:rsid w:val="00336A87"/>
    <w:rsid w:val="00336C87"/>
    <w:rsid w:val="00337849"/>
    <w:rsid w:val="003415C2"/>
    <w:rsid w:val="00341C75"/>
    <w:rsid w:val="00341D8D"/>
    <w:rsid w:val="00342854"/>
    <w:rsid w:val="00342A84"/>
    <w:rsid w:val="00345D36"/>
    <w:rsid w:val="00345F31"/>
    <w:rsid w:val="0034604E"/>
    <w:rsid w:val="0034672C"/>
    <w:rsid w:val="00346844"/>
    <w:rsid w:val="00346C90"/>
    <w:rsid w:val="00347E4A"/>
    <w:rsid w:val="0035302E"/>
    <w:rsid w:val="0035315A"/>
    <w:rsid w:val="00353C14"/>
    <w:rsid w:val="0035514A"/>
    <w:rsid w:val="003566C3"/>
    <w:rsid w:val="00361CB1"/>
    <w:rsid w:val="003633C6"/>
    <w:rsid w:val="0036383F"/>
    <w:rsid w:val="00364100"/>
    <w:rsid w:val="0036564A"/>
    <w:rsid w:val="003665B1"/>
    <w:rsid w:val="00367C3D"/>
    <w:rsid w:val="00372F94"/>
    <w:rsid w:val="003750D6"/>
    <w:rsid w:val="00377578"/>
    <w:rsid w:val="00380347"/>
    <w:rsid w:val="00380A4B"/>
    <w:rsid w:val="00384D46"/>
    <w:rsid w:val="0038503E"/>
    <w:rsid w:val="00387651"/>
    <w:rsid w:val="003879BA"/>
    <w:rsid w:val="00390BD0"/>
    <w:rsid w:val="00390F93"/>
    <w:rsid w:val="00392367"/>
    <w:rsid w:val="00393822"/>
    <w:rsid w:val="0039521F"/>
    <w:rsid w:val="00397790"/>
    <w:rsid w:val="003A0832"/>
    <w:rsid w:val="003A37E7"/>
    <w:rsid w:val="003A4D25"/>
    <w:rsid w:val="003A5C14"/>
    <w:rsid w:val="003A759A"/>
    <w:rsid w:val="003B141E"/>
    <w:rsid w:val="003B26E4"/>
    <w:rsid w:val="003C0522"/>
    <w:rsid w:val="003C06C5"/>
    <w:rsid w:val="003C0807"/>
    <w:rsid w:val="003C10C3"/>
    <w:rsid w:val="003C14D0"/>
    <w:rsid w:val="003C157A"/>
    <w:rsid w:val="003C1C34"/>
    <w:rsid w:val="003C2DBA"/>
    <w:rsid w:val="003C3303"/>
    <w:rsid w:val="003C79AD"/>
    <w:rsid w:val="003D1B67"/>
    <w:rsid w:val="003D1C52"/>
    <w:rsid w:val="003D3DA6"/>
    <w:rsid w:val="003D3E9B"/>
    <w:rsid w:val="003D6A01"/>
    <w:rsid w:val="003E0419"/>
    <w:rsid w:val="003E1886"/>
    <w:rsid w:val="003E217D"/>
    <w:rsid w:val="003E37B0"/>
    <w:rsid w:val="003E380B"/>
    <w:rsid w:val="003E3D67"/>
    <w:rsid w:val="003E41B1"/>
    <w:rsid w:val="003E425D"/>
    <w:rsid w:val="003E44F4"/>
    <w:rsid w:val="003E54C2"/>
    <w:rsid w:val="003E6438"/>
    <w:rsid w:val="003E7EB0"/>
    <w:rsid w:val="003F0803"/>
    <w:rsid w:val="003F3C0E"/>
    <w:rsid w:val="003F5144"/>
    <w:rsid w:val="003F59AA"/>
    <w:rsid w:val="003F6B7A"/>
    <w:rsid w:val="003F707B"/>
    <w:rsid w:val="003F795D"/>
    <w:rsid w:val="003F7B3A"/>
    <w:rsid w:val="00400956"/>
    <w:rsid w:val="00402390"/>
    <w:rsid w:val="004026B5"/>
    <w:rsid w:val="004030D6"/>
    <w:rsid w:val="00403E4D"/>
    <w:rsid w:val="00404814"/>
    <w:rsid w:val="00407695"/>
    <w:rsid w:val="00410DD8"/>
    <w:rsid w:val="00411868"/>
    <w:rsid w:val="00411D3B"/>
    <w:rsid w:val="004143BB"/>
    <w:rsid w:val="00414B3D"/>
    <w:rsid w:val="00415FDE"/>
    <w:rsid w:val="00415FEF"/>
    <w:rsid w:val="00416B16"/>
    <w:rsid w:val="0041768D"/>
    <w:rsid w:val="004218CF"/>
    <w:rsid w:val="00421F8F"/>
    <w:rsid w:val="0042214C"/>
    <w:rsid w:val="00423F57"/>
    <w:rsid w:val="004250D2"/>
    <w:rsid w:val="00426743"/>
    <w:rsid w:val="0043333A"/>
    <w:rsid w:val="0043740D"/>
    <w:rsid w:val="00440D23"/>
    <w:rsid w:val="00440D8D"/>
    <w:rsid w:val="0044113D"/>
    <w:rsid w:val="004411B9"/>
    <w:rsid w:val="00443871"/>
    <w:rsid w:val="00444088"/>
    <w:rsid w:val="004441E0"/>
    <w:rsid w:val="00445034"/>
    <w:rsid w:val="004451BB"/>
    <w:rsid w:val="00445C2B"/>
    <w:rsid w:val="00447072"/>
    <w:rsid w:val="00447D01"/>
    <w:rsid w:val="00450367"/>
    <w:rsid w:val="00450652"/>
    <w:rsid w:val="00451251"/>
    <w:rsid w:val="00457E81"/>
    <w:rsid w:val="004637EE"/>
    <w:rsid w:val="00464716"/>
    <w:rsid w:val="004665A9"/>
    <w:rsid w:val="004675C6"/>
    <w:rsid w:val="00467B8F"/>
    <w:rsid w:val="00467BA6"/>
    <w:rsid w:val="00467EA6"/>
    <w:rsid w:val="00470557"/>
    <w:rsid w:val="0047074F"/>
    <w:rsid w:val="00470BD0"/>
    <w:rsid w:val="004777D3"/>
    <w:rsid w:val="004873DC"/>
    <w:rsid w:val="004913AE"/>
    <w:rsid w:val="00492243"/>
    <w:rsid w:val="00497F84"/>
    <w:rsid w:val="004A34A5"/>
    <w:rsid w:val="004A6ACE"/>
    <w:rsid w:val="004A7186"/>
    <w:rsid w:val="004A7CC8"/>
    <w:rsid w:val="004B101B"/>
    <w:rsid w:val="004B21E2"/>
    <w:rsid w:val="004B262D"/>
    <w:rsid w:val="004B690A"/>
    <w:rsid w:val="004C007B"/>
    <w:rsid w:val="004C1285"/>
    <w:rsid w:val="004C1A1A"/>
    <w:rsid w:val="004C26BA"/>
    <w:rsid w:val="004C2A3E"/>
    <w:rsid w:val="004C4272"/>
    <w:rsid w:val="004C6E98"/>
    <w:rsid w:val="004C7834"/>
    <w:rsid w:val="004D0884"/>
    <w:rsid w:val="004D10ED"/>
    <w:rsid w:val="004D20AB"/>
    <w:rsid w:val="004D3E93"/>
    <w:rsid w:val="004D5F9F"/>
    <w:rsid w:val="004D709A"/>
    <w:rsid w:val="004E70A2"/>
    <w:rsid w:val="004E70C0"/>
    <w:rsid w:val="004F15AD"/>
    <w:rsid w:val="004F15B0"/>
    <w:rsid w:val="004F6DE1"/>
    <w:rsid w:val="004F6EA0"/>
    <w:rsid w:val="004F7F09"/>
    <w:rsid w:val="004F7FA1"/>
    <w:rsid w:val="00500C6E"/>
    <w:rsid w:val="00503958"/>
    <w:rsid w:val="00503FBB"/>
    <w:rsid w:val="005046F2"/>
    <w:rsid w:val="00504777"/>
    <w:rsid w:val="00505772"/>
    <w:rsid w:val="00506CCC"/>
    <w:rsid w:val="005128B8"/>
    <w:rsid w:val="00512DB8"/>
    <w:rsid w:val="0051372A"/>
    <w:rsid w:val="005177FD"/>
    <w:rsid w:val="00521214"/>
    <w:rsid w:val="0052379A"/>
    <w:rsid w:val="00524162"/>
    <w:rsid w:val="00524C85"/>
    <w:rsid w:val="00531BE0"/>
    <w:rsid w:val="00532DA5"/>
    <w:rsid w:val="00534777"/>
    <w:rsid w:val="005356E3"/>
    <w:rsid w:val="005367CB"/>
    <w:rsid w:val="005371CE"/>
    <w:rsid w:val="00540A95"/>
    <w:rsid w:val="00540C1C"/>
    <w:rsid w:val="00541515"/>
    <w:rsid w:val="00541D1E"/>
    <w:rsid w:val="0054365D"/>
    <w:rsid w:val="00543F91"/>
    <w:rsid w:val="005440F0"/>
    <w:rsid w:val="0054432B"/>
    <w:rsid w:val="00550997"/>
    <w:rsid w:val="005541EB"/>
    <w:rsid w:val="005548FD"/>
    <w:rsid w:val="00554B33"/>
    <w:rsid w:val="005550DA"/>
    <w:rsid w:val="005568AC"/>
    <w:rsid w:val="00557D82"/>
    <w:rsid w:val="005600AC"/>
    <w:rsid w:val="005629E4"/>
    <w:rsid w:val="005654E7"/>
    <w:rsid w:val="00565B65"/>
    <w:rsid w:val="00570F83"/>
    <w:rsid w:val="00571F38"/>
    <w:rsid w:val="00572E6E"/>
    <w:rsid w:val="00573AAB"/>
    <w:rsid w:val="00573D59"/>
    <w:rsid w:val="005750CC"/>
    <w:rsid w:val="00575A3A"/>
    <w:rsid w:val="00576E67"/>
    <w:rsid w:val="005771F2"/>
    <w:rsid w:val="0057727F"/>
    <w:rsid w:val="0057729D"/>
    <w:rsid w:val="00583087"/>
    <w:rsid w:val="005835EB"/>
    <w:rsid w:val="0059074A"/>
    <w:rsid w:val="00593030"/>
    <w:rsid w:val="0059383E"/>
    <w:rsid w:val="00593F77"/>
    <w:rsid w:val="00595D97"/>
    <w:rsid w:val="005A038C"/>
    <w:rsid w:val="005A06B0"/>
    <w:rsid w:val="005A1E51"/>
    <w:rsid w:val="005A2A53"/>
    <w:rsid w:val="005A3359"/>
    <w:rsid w:val="005A383D"/>
    <w:rsid w:val="005A6A28"/>
    <w:rsid w:val="005B09E7"/>
    <w:rsid w:val="005B0B3B"/>
    <w:rsid w:val="005B3EA9"/>
    <w:rsid w:val="005B4DAC"/>
    <w:rsid w:val="005B595D"/>
    <w:rsid w:val="005C35AA"/>
    <w:rsid w:val="005C3B5A"/>
    <w:rsid w:val="005C4406"/>
    <w:rsid w:val="005C4F08"/>
    <w:rsid w:val="005D2D0C"/>
    <w:rsid w:val="005D2FA6"/>
    <w:rsid w:val="005D408B"/>
    <w:rsid w:val="005D52D6"/>
    <w:rsid w:val="005D6111"/>
    <w:rsid w:val="005D6574"/>
    <w:rsid w:val="005E7264"/>
    <w:rsid w:val="005F04F2"/>
    <w:rsid w:val="005F0D4B"/>
    <w:rsid w:val="005F4947"/>
    <w:rsid w:val="005F4D6B"/>
    <w:rsid w:val="005F51F7"/>
    <w:rsid w:val="005F61DA"/>
    <w:rsid w:val="005F6C71"/>
    <w:rsid w:val="00600A2C"/>
    <w:rsid w:val="0060117D"/>
    <w:rsid w:val="006060FA"/>
    <w:rsid w:val="00611A83"/>
    <w:rsid w:val="006126A0"/>
    <w:rsid w:val="006130AF"/>
    <w:rsid w:val="006143CE"/>
    <w:rsid w:val="00614F65"/>
    <w:rsid w:val="006162BC"/>
    <w:rsid w:val="00621AE3"/>
    <w:rsid w:val="0062248D"/>
    <w:rsid w:val="00623223"/>
    <w:rsid w:val="00624B19"/>
    <w:rsid w:val="00625A3B"/>
    <w:rsid w:val="006267E5"/>
    <w:rsid w:val="006272F4"/>
    <w:rsid w:val="00630911"/>
    <w:rsid w:val="00630CCB"/>
    <w:rsid w:val="00631074"/>
    <w:rsid w:val="00631C4F"/>
    <w:rsid w:val="006332DB"/>
    <w:rsid w:val="00634DB7"/>
    <w:rsid w:val="00640EFF"/>
    <w:rsid w:val="00641890"/>
    <w:rsid w:val="00642BD9"/>
    <w:rsid w:val="00643971"/>
    <w:rsid w:val="00644A49"/>
    <w:rsid w:val="00646D9C"/>
    <w:rsid w:val="00652E15"/>
    <w:rsid w:val="00655BF0"/>
    <w:rsid w:val="00655CF0"/>
    <w:rsid w:val="00655FF7"/>
    <w:rsid w:val="0065600E"/>
    <w:rsid w:val="00656790"/>
    <w:rsid w:val="00662196"/>
    <w:rsid w:val="00663154"/>
    <w:rsid w:val="006638C5"/>
    <w:rsid w:val="00664B5D"/>
    <w:rsid w:val="00664FF8"/>
    <w:rsid w:val="006659DE"/>
    <w:rsid w:val="00671428"/>
    <w:rsid w:val="00675782"/>
    <w:rsid w:val="00676002"/>
    <w:rsid w:val="00677585"/>
    <w:rsid w:val="0068036E"/>
    <w:rsid w:val="00680AB5"/>
    <w:rsid w:val="00680DD3"/>
    <w:rsid w:val="0068613F"/>
    <w:rsid w:val="00686158"/>
    <w:rsid w:val="0069036E"/>
    <w:rsid w:val="00690EC7"/>
    <w:rsid w:val="00691345"/>
    <w:rsid w:val="0069358A"/>
    <w:rsid w:val="006941DD"/>
    <w:rsid w:val="00697BA2"/>
    <w:rsid w:val="006A0ED6"/>
    <w:rsid w:val="006A275A"/>
    <w:rsid w:val="006A2A0A"/>
    <w:rsid w:val="006A5296"/>
    <w:rsid w:val="006A7943"/>
    <w:rsid w:val="006B101D"/>
    <w:rsid w:val="006B59E1"/>
    <w:rsid w:val="006B651C"/>
    <w:rsid w:val="006B69C9"/>
    <w:rsid w:val="006C3E79"/>
    <w:rsid w:val="006C6825"/>
    <w:rsid w:val="006C7FD3"/>
    <w:rsid w:val="006D040E"/>
    <w:rsid w:val="006D0801"/>
    <w:rsid w:val="006D1E71"/>
    <w:rsid w:val="006D2D30"/>
    <w:rsid w:val="006D441A"/>
    <w:rsid w:val="006D4C31"/>
    <w:rsid w:val="006D4DE0"/>
    <w:rsid w:val="006D68BF"/>
    <w:rsid w:val="006E08D6"/>
    <w:rsid w:val="006E4DCE"/>
    <w:rsid w:val="006E6675"/>
    <w:rsid w:val="006E70A8"/>
    <w:rsid w:val="006F07B3"/>
    <w:rsid w:val="006F1B64"/>
    <w:rsid w:val="006F29A3"/>
    <w:rsid w:val="006F4BDC"/>
    <w:rsid w:val="006F4E15"/>
    <w:rsid w:val="006F55B8"/>
    <w:rsid w:val="006F629B"/>
    <w:rsid w:val="006F7B5D"/>
    <w:rsid w:val="00700530"/>
    <w:rsid w:val="007006EA"/>
    <w:rsid w:val="00700D7D"/>
    <w:rsid w:val="0070586B"/>
    <w:rsid w:val="007104EB"/>
    <w:rsid w:val="00711467"/>
    <w:rsid w:val="00712F1F"/>
    <w:rsid w:val="00716260"/>
    <w:rsid w:val="007176EC"/>
    <w:rsid w:val="007179E2"/>
    <w:rsid w:val="00720CD1"/>
    <w:rsid w:val="00720D76"/>
    <w:rsid w:val="007230C9"/>
    <w:rsid w:val="007240E3"/>
    <w:rsid w:val="00725CA0"/>
    <w:rsid w:val="00726752"/>
    <w:rsid w:val="007269B8"/>
    <w:rsid w:val="00726F72"/>
    <w:rsid w:val="00727BA8"/>
    <w:rsid w:val="00730E7E"/>
    <w:rsid w:val="007314C8"/>
    <w:rsid w:val="00735BDC"/>
    <w:rsid w:val="007369FE"/>
    <w:rsid w:val="0073784D"/>
    <w:rsid w:val="00744230"/>
    <w:rsid w:val="00744B21"/>
    <w:rsid w:val="00744C95"/>
    <w:rsid w:val="00744E96"/>
    <w:rsid w:val="00745D78"/>
    <w:rsid w:val="007460CF"/>
    <w:rsid w:val="007462B8"/>
    <w:rsid w:val="0075014C"/>
    <w:rsid w:val="007504E3"/>
    <w:rsid w:val="00750DB2"/>
    <w:rsid w:val="00751D9D"/>
    <w:rsid w:val="00751F0E"/>
    <w:rsid w:val="00755879"/>
    <w:rsid w:val="00756AAD"/>
    <w:rsid w:val="00761502"/>
    <w:rsid w:val="0076168B"/>
    <w:rsid w:val="007626DF"/>
    <w:rsid w:val="00763976"/>
    <w:rsid w:val="007641FA"/>
    <w:rsid w:val="00765F05"/>
    <w:rsid w:val="0076735C"/>
    <w:rsid w:val="007709C2"/>
    <w:rsid w:val="0077189A"/>
    <w:rsid w:val="0077354E"/>
    <w:rsid w:val="00773AAA"/>
    <w:rsid w:val="00774F03"/>
    <w:rsid w:val="00775000"/>
    <w:rsid w:val="007771B9"/>
    <w:rsid w:val="007802D3"/>
    <w:rsid w:val="00783000"/>
    <w:rsid w:val="00784718"/>
    <w:rsid w:val="00790445"/>
    <w:rsid w:val="00793B18"/>
    <w:rsid w:val="00794A2D"/>
    <w:rsid w:val="007953D0"/>
    <w:rsid w:val="00797852"/>
    <w:rsid w:val="007A47F9"/>
    <w:rsid w:val="007A4D3B"/>
    <w:rsid w:val="007A777B"/>
    <w:rsid w:val="007B0C43"/>
    <w:rsid w:val="007B2169"/>
    <w:rsid w:val="007B574B"/>
    <w:rsid w:val="007B6B74"/>
    <w:rsid w:val="007B6B9D"/>
    <w:rsid w:val="007C4432"/>
    <w:rsid w:val="007C5ABA"/>
    <w:rsid w:val="007C7182"/>
    <w:rsid w:val="007C767D"/>
    <w:rsid w:val="007D1719"/>
    <w:rsid w:val="007D266E"/>
    <w:rsid w:val="007D2FA5"/>
    <w:rsid w:val="007D3308"/>
    <w:rsid w:val="007D4139"/>
    <w:rsid w:val="007D642C"/>
    <w:rsid w:val="007E10A6"/>
    <w:rsid w:val="007E117B"/>
    <w:rsid w:val="007E24B1"/>
    <w:rsid w:val="007E2F1D"/>
    <w:rsid w:val="007E38A0"/>
    <w:rsid w:val="007E4801"/>
    <w:rsid w:val="007E76B8"/>
    <w:rsid w:val="007F02B8"/>
    <w:rsid w:val="007F0DE0"/>
    <w:rsid w:val="007F609A"/>
    <w:rsid w:val="00801760"/>
    <w:rsid w:val="0080206E"/>
    <w:rsid w:val="008022D5"/>
    <w:rsid w:val="008032A6"/>
    <w:rsid w:val="008035D1"/>
    <w:rsid w:val="008055EF"/>
    <w:rsid w:val="00813529"/>
    <w:rsid w:val="0081417E"/>
    <w:rsid w:val="00814A33"/>
    <w:rsid w:val="00816F10"/>
    <w:rsid w:val="00820C69"/>
    <w:rsid w:val="00823772"/>
    <w:rsid w:val="008243D6"/>
    <w:rsid w:val="0082475A"/>
    <w:rsid w:val="00826313"/>
    <w:rsid w:val="0082763B"/>
    <w:rsid w:val="008300CC"/>
    <w:rsid w:val="00833FBC"/>
    <w:rsid w:val="00834CA1"/>
    <w:rsid w:val="008358B0"/>
    <w:rsid w:val="008374F8"/>
    <w:rsid w:val="00842159"/>
    <w:rsid w:val="00842DC2"/>
    <w:rsid w:val="00844681"/>
    <w:rsid w:val="00845168"/>
    <w:rsid w:val="008461F5"/>
    <w:rsid w:val="0084775A"/>
    <w:rsid w:val="00850A4F"/>
    <w:rsid w:val="00850F4E"/>
    <w:rsid w:val="00851F70"/>
    <w:rsid w:val="00853C75"/>
    <w:rsid w:val="008540E5"/>
    <w:rsid w:val="00854C01"/>
    <w:rsid w:val="00854D3D"/>
    <w:rsid w:val="0085652F"/>
    <w:rsid w:val="008608DC"/>
    <w:rsid w:val="00860DA6"/>
    <w:rsid w:val="00861545"/>
    <w:rsid w:val="008627C3"/>
    <w:rsid w:val="00862A21"/>
    <w:rsid w:val="00863E2A"/>
    <w:rsid w:val="008655D0"/>
    <w:rsid w:val="008659A4"/>
    <w:rsid w:val="0086762F"/>
    <w:rsid w:val="00871BA5"/>
    <w:rsid w:val="00874A06"/>
    <w:rsid w:val="00875C66"/>
    <w:rsid w:val="0087717D"/>
    <w:rsid w:val="00880788"/>
    <w:rsid w:val="008813FE"/>
    <w:rsid w:val="00884FA8"/>
    <w:rsid w:val="008850CE"/>
    <w:rsid w:val="00885CCF"/>
    <w:rsid w:val="00886649"/>
    <w:rsid w:val="0088670B"/>
    <w:rsid w:val="008870A3"/>
    <w:rsid w:val="0088728E"/>
    <w:rsid w:val="00887B02"/>
    <w:rsid w:val="008903FC"/>
    <w:rsid w:val="00890CF6"/>
    <w:rsid w:val="008920A1"/>
    <w:rsid w:val="008923D0"/>
    <w:rsid w:val="008926EF"/>
    <w:rsid w:val="008927CC"/>
    <w:rsid w:val="008950B8"/>
    <w:rsid w:val="00895456"/>
    <w:rsid w:val="008A08F1"/>
    <w:rsid w:val="008A0C22"/>
    <w:rsid w:val="008A258C"/>
    <w:rsid w:val="008A54D2"/>
    <w:rsid w:val="008B55AE"/>
    <w:rsid w:val="008B5E47"/>
    <w:rsid w:val="008B764B"/>
    <w:rsid w:val="008C2207"/>
    <w:rsid w:val="008C3455"/>
    <w:rsid w:val="008C3D3F"/>
    <w:rsid w:val="008C3E10"/>
    <w:rsid w:val="008C4364"/>
    <w:rsid w:val="008C4F5A"/>
    <w:rsid w:val="008C5681"/>
    <w:rsid w:val="008C631F"/>
    <w:rsid w:val="008C7D51"/>
    <w:rsid w:val="008D0C0E"/>
    <w:rsid w:val="008D184D"/>
    <w:rsid w:val="008D3A97"/>
    <w:rsid w:val="008D50FF"/>
    <w:rsid w:val="008D549B"/>
    <w:rsid w:val="008D60CE"/>
    <w:rsid w:val="008D667E"/>
    <w:rsid w:val="008E03E1"/>
    <w:rsid w:val="008E0D75"/>
    <w:rsid w:val="008E1AFB"/>
    <w:rsid w:val="008E2771"/>
    <w:rsid w:val="008E4C4B"/>
    <w:rsid w:val="008E54BF"/>
    <w:rsid w:val="008E5EE6"/>
    <w:rsid w:val="008E6061"/>
    <w:rsid w:val="008E7CF1"/>
    <w:rsid w:val="008F0A9B"/>
    <w:rsid w:val="008F1E47"/>
    <w:rsid w:val="008F6D21"/>
    <w:rsid w:val="008F6F5E"/>
    <w:rsid w:val="00900347"/>
    <w:rsid w:val="00901D79"/>
    <w:rsid w:val="009117D2"/>
    <w:rsid w:val="00912192"/>
    <w:rsid w:val="009136F2"/>
    <w:rsid w:val="0091489B"/>
    <w:rsid w:val="00914BF8"/>
    <w:rsid w:val="009150E0"/>
    <w:rsid w:val="00915292"/>
    <w:rsid w:val="00917210"/>
    <w:rsid w:val="009202E0"/>
    <w:rsid w:val="00921465"/>
    <w:rsid w:val="00921B86"/>
    <w:rsid w:val="00923E85"/>
    <w:rsid w:val="00924B23"/>
    <w:rsid w:val="00924DE8"/>
    <w:rsid w:val="00926584"/>
    <w:rsid w:val="00926F3C"/>
    <w:rsid w:val="00927391"/>
    <w:rsid w:val="00927663"/>
    <w:rsid w:val="0093049E"/>
    <w:rsid w:val="00930E10"/>
    <w:rsid w:val="00932180"/>
    <w:rsid w:val="00932AF7"/>
    <w:rsid w:val="00935965"/>
    <w:rsid w:val="00936F53"/>
    <w:rsid w:val="00937360"/>
    <w:rsid w:val="00937B92"/>
    <w:rsid w:val="009404DE"/>
    <w:rsid w:val="00941188"/>
    <w:rsid w:val="00941B1A"/>
    <w:rsid w:val="00941FD7"/>
    <w:rsid w:val="009420A1"/>
    <w:rsid w:val="00942AF7"/>
    <w:rsid w:val="00943EB0"/>
    <w:rsid w:val="009456EB"/>
    <w:rsid w:val="00950323"/>
    <w:rsid w:val="00951C38"/>
    <w:rsid w:val="00951EA1"/>
    <w:rsid w:val="009524E4"/>
    <w:rsid w:val="00952ABA"/>
    <w:rsid w:val="0095369F"/>
    <w:rsid w:val="00955437"/>
    <w:rsid w:val="00955699"/>
    <w:rsid w:val="00956A4B"/>
    <w:rsid w:val="00956FC9"/>
    <w:rsid w:val="00957EA6"/>
    <w:rsid w:val="009600E4"/>
    <w:rsid w:val="0096249B"/>
    <w:rsid w:val="00964821"/>
    <w:rsid w:val="00964BF1"/>
    <w:rsid w:val="0098022E"/>
    <w:rsid w:val="00980FC1"/>
    <w:rsid w:val="00982084"/>
    <w:rsid w:val="00983F6A"/>
    <w:rsid w:val="00983F90"/>
    <w:rsid w:val="009843D4"/>
    <w:rsid w:val="00985108"/>
    <w:rsid w:val="009855AE"/>
    <w:rsid w:val="009860B2"/>
    <w:rsid w:val="0098617E"/>
    <w:rsid w:val="009938B1"/>
    <w:rsid w:val="009952B4"/>
    <w:rsid w:val="00997C5D"/>
    <w:rsid w:val="009A1685"/>
    <w:rsid w:val="009A2CDA"/>
    <w:rsid w:val="009A42F3"/>
    <w:rsid w:val="009A4AE7"/>
    <w:rsid w:val="009A4CAD"/>
    <w:rsid w:val="009A5242"/>
    <w:rsid w:val="009A5EBA"/>
    <w:rsid w:val="009A711F"/>
    <w:rsid w:val="009A7153"/>
    <w:rsid w:val="009B01FB"/>
    <w:rsid w:val="009B34C2"/>
    <w:rsid w:val="009B66CD"/>
    <w:rsid w:val="009C2892"/>
    <w:rsid w:val="009C3660"/>
    <w:rsid w:val="009C438B"/>
    <w:rsid w:val="009C48CA"/>
    <w:rsid w:val="009C7F24"/>
    <w:rsid w:val="009D07B4"/>
    <w:rsid w:val="009D0FC3"/>
    <w:rsid w:val="009D12C0"/>
    <w:rsid w:val="009D28BC"/>
    <w:rsid w:val="009D3586"/>
    <w:rsid w:val="009D441C"/>
    <w:rsid w:val="009D5AE1"/>
    <w:rsid w:val="009E0014"/>
    <w:rsid w:val="009E0D6B"/>
    <w:rsid w:val="009E5DC6"/>
    <w:rsid w:val="009E6D42"/>
    <w:rsid w:val="009E7D32"/>
    <w:rsid w:val="009F004E"/>
    <w:rsid w:val="009F1295"/>
    <w:rsid w:val="009F1571"/>
    <w:rsid w:val="009F34D1"/>
    <w:rsid w:val="009F375E"/>
    <w:rsid w:val="009F4BB9"/>
    <w:rsid w:val="009F55E1"/>
    <w:rsid w:val="009F5B73"/>
    <w:rsid w:val="009F6D4E"/>
    <w:rsid w:val="009F7BAF"/>
    <w:rsid w:val="00A01106"/>
    <w:rsid w:val="00A02665"/>
    <w:rsid w:val="00A040E6"/>
    <w:rsid w:val="00A05893"/>
    <w:rsid w:val="00A067DB"/>
    <w:rsid w:val="00A07201"/>
    <w:rsid w:val="00A07D8B"/>
    <w:rsid w:val="00A10342"/>
    <w:rsid w:val="00A11597"/>
    <w:rsid w:val="00A1184C"/>
    <w:rsid w:val="00A1345B"/>
    <w:rsid w:val="00A14BC2"/>
    <w:rsid w:val="00A14F59"/>
    <w:rsid w:val="00A14FD3"/>
    <w:rsid w:val="00A153F3"/>
    <w:rsid w:val="00A170DC"/>
    <w:rsid w:val="00A242F3"/>
    <w:rsid w:val="00A25159"/>
    <w:rsid w:val="00A26260"/>
    <w:rsid w:val="00A27031"/>
    <w:rsid w:val="00A275D2"/>
    <w:rsid w:val="00A27B5A"/>
    <w:rsid w:val="00A30BC3"/>
    <w:rsid w:val="00A327C1"/>
    <w:rsid w:val="00A32B02"/>
    <w:rsid w:val="00A37CA8"/>
    <w:rsid w:val="00A37D35"/>
    <w:rsid w:val="00A41458"/>
    <w:rsid w:val="00A4160D"/>
    <w:rsid w:val="00A41B64"/>
    <w:rsid w:val="00A420F3"/>
    <w:rsid w:val="00A43E89"/>
    <w:rsid w:val="00A45626"/>
    <w:rsid w:val="00A46CBB"/>
    <w:rsid w:val="00A50E9C"/>
    <w:rsid w:val="00A52AA7"/>
    <w:rsid w:val="00A54650"/>
    <w:rsid w:val="00A6022F"/>
    <w:rsid w:val="00A60C44"/>
    <w:rsid w:val="00A60FEC"/>
    <w:rsid w:val="00A61069"/>
    <w:rsid w:val="00A62DDB"/>
    <w:rsid w:val="00A6392C"/>
    <w:rsid w:val="00A65C00"/>
    <w:rsid w:val="00A66680"/>
    <w:rsid w:val="00A66BBF"/>
    <w:rsid w:val="00A705F5"/>
    <w:rsid w:val="00A70D10"/>
    <w:rsid w:val="00A71352"/>
    <w:rsid w:val="00A71716"/>
    <w:rsid w:val="00A73942"/>
    <w:rsid w:val="00A747C9"/>
    <w:rsid w:val="00A753C7"/>
    <w:rsid w:val="00A772E4"/>
    <w:rsid w:val="00A7731A"/>
    <w:rsid w:val="00A77AAB"/>
    <w:rsid w:val="00A77B8F"/>
    <w:rsid w:val="00A81196"/>
    <w:rsid w:val="00A824DF"/>
    <w:rsid w:val="00A8352A"/>
    <w:rsid w:val="00A835F7"/>
    <w:rsid w:val="00A84205"/>
    <w:rsid w:val="00A847D4"/>
    <w:rsid w:val="00A85D23"/>
    <w:rsid w:val="00A87B29"/>
    <w:rsid w:val="00A87E95"/>
    <w:rsid w:val="00A92150"/>
    <w:rsid w:val="00A92466"/>
    <w:rsid w:val="00A92E7B"/>
    <w:rsid w:val="00A94C01"/>
    <w:rsid w:val="00A96655"/>
    <w:rsid w:val="00AA26B0"/>
    <w:rsid w:val="00AA279B"/>
    <w:rsid w:val="00AA5A65"/>
    <w:rsid w:val="00AA64B8"/>
    <w:rsid w:val="00AA70BC"/>
    <w:rsid w:val="00AB073B"/>
    <w:rsid w:val="00AB0A73"/>
    <w:rsid w:val="00AB1EA7"/>
    <w:rsid w:val="00AB21C8"/>
    <w:rsid w:val="00AB2659"/>
    <w:rsid w:val="00AB2878"/>
    <w:rsid w:val="00AB38F8"/>
    <w:rsid w:val="00AB5F71"/>
    <w:rsid w:val="00AB6765"/>
    <w:rsid w:val="00AB713F"/>
    <w:rsid w:val="00AC1C21"/>
    <w:rsid w:val="00AC418D"/>
    <w:rsid w:val="00AC49D3"/>
    <w:rsid w:val="00AC5A7A"/>
    <w:rsid w:val="00AC6A37"/>
    <w:rsid w:val="00AC7C0D"/>
    <w:rsid w:val="00AD06DE"/>
    <w:rsid w:val="00AD136B"/>
    <w:rsid w:val="00AD1562"/>
    <w:rsid w:val="00AD1E93"/>
    <w:rsid w:val="00AD1EC6"/>
    <w:rsid w:val="00AD346B"/>
    <w:rsid w:val="00AD3D23"/>
    <w:rsid w:val="00AD400C"/>
    <w:rsid w:val="00AD464E"/>
    <w:rsid w:val="00AD681F"/>
    <w:rsid w:val="00AD69DF"/>
    <w:rsid w:val="00AD6DAB"/>
    <w:rsid w:val="00AD6FFB"/>
    <w:rsid w:val="00AD73E3"/>
    <w:rsid w:val="00AD79B2"/>
    <w:rsid w:val="00AE0276"/>
    <w:rsid w:val="00AE1054"/>
    <w:rsid w:val="00AE2299"/>
    <w:rsid w:val="00AE2A7E"/>
    <w:rsid w:val="00AE335F"/>
    <w:rsid w:val="00AE3929"/>
    <w:rsid w:val="00AE4919"/>
    <w:rsid w:val="00AE69A6"/>
    <w:rsid w:val="00AE6AAB"/>
    <w:rsid w:val="00AE70BC"/>
    <w:rsid w:val="00AF1518"/>
    <w:rsid w:val="00AF165E"/>
    <w:rsid w:val="00AF407D"/>
    <w:rsid w:val="00AF49A9"/>
    <w:rsid w:val="00AF6953"/>
    <w:rsid w:val="00AF6C45"/>
    <w:rsid w:val="00B00A08"/>
    <w:rsid w:val="00B03AA1"/>
    <w:rsid w:val="00B04FF5"/>
    <w:rsid w:val="00B12F0F"/>
    <w:rsid w:val="00B1487D"/>
    <w:rsid w:val="00B1556A"/>
    <w:rsid w:val="00B15D35"/>
    <w:rsid w:val="00B15EA8"/>
    <w:rsid w:val="00B1637B"/>
    <w:rsid w:val="00B179F9"/>
    <w:rsid w:val="00B2098E"/>
    <w:rsid w:val="00B22D72"/>
    <w:rsid w:val="00B22EFD"/>
    <w:rsid w:val="00B23AD6"/>
    <w:rsid w:val="00B24125"/>
    <w:rsid w:val="00B24430"/>
    <w:rsid w:val="00B25173"/>
    <w:rsid w:val="00B251C9"/>
    <w:rsid w:val="00B30B31"/>
    <w:rsid w:val="00B4077F"/>
    <w:rsid w:val="00B432D5"/>
    <w:rsid w:val="00B44EBD"/>
    <w:rsid w:val="00B47472"/>
    <w:rsid w:val="00B476E1"/>
    <w:rsid w:val="00B4791A"/>
    <w:rsid w:val="00B50B3F"/>
    <w:rsid w:val="00B51DA9"/>
    <w:rsid w:val="00B52C26"/>
    <w:rsid w:val="00B546DC"/>
    <w:rsid w:val="00B5604C"/>
    <w:rsid w:val="00B572E4"/>
    <w:rsid w:val="00B57576"/>
    <w:rsid w:val="00B57DD1"/>
    <w:rsid w:val="00B63A0F"/>
    <w:rsid w:val="00B640E1"/>
    <w:rsid w:val="00B665EB"/>
    <w:rsid w:val="00B67305"/>
    <w:rsid w:val="00B73C37"/>
    <w:rsid w:val="00B752B2"/>
    <w:rsid w:val="00B769EA"/>
    <w:rsid w:val="00B77F81"/>
    <w:rsid w:val="00B80C41"/>
    <w:rsid w:val="00B82DB4"/>
    <w:rsid w:val="00B91C84"/>
    <w:rsid w:val="00B947FD"/>
    <w:rsid w:val="00B9727B"/>
    <w:rsid w:val="00B9745D"/>
    <w:rsid w:val="00B974C0"/>
    <w:rsid w:val="00BA4F71"/>
    <w:rsid w:val="00BA51E4"/>
    <w:rsid w:val="00BA6994"/>
    <w:rsid w:val="00BA6C52"/>
    <w:rsid w:val="00BB2803"/>
    <w:rsid w:val="00BB3094"/>
    <w:rsid w:val="00BB42CE"/>
    <w:rsid w:val="00BC31E3"/>
    <w:rsid w:val="00BC5CD1"/>
    <w:rsid w:val="00BC5D40"/>
    <w:rsid w:val="00BC7541"/>
    <w:rsid w:val="00BD0563"/>
    <w:rsid w:val="00BD0FAD"/>
    <w:rsid w:val="00BD2BDC"/>
    <w:rsid w:val="00BD4200"/>
    <w:rsid w:val="00BD4706"/>
    <w:rsid w:val="00BD4826"/>
    <w:rsid w:val="00BD4B5B"/>
    <w:rsid w:val="00BD4ECC"/>
    <w:rsid w:val="00BE0FD9"/>
    <w:rsid w:val="00BE11A8"/>
    <w:rsid w:val="00BE5D21"/>
    <w:rsid w:val="00BF134F"/>
    <w:rsid w:val="00BF1395"/>
    <w:rsid w:val="00BF1C89"/>
    <w:rsid w:val="00BF4E96"/>
    <w:rsid w:val="00BF5204"/>
    <w:rsid w:val="00BF616D"/>
    <w:rsid w:val="00BF6710"/>
    <w:rsid w:val="00C030CB"/>
    <w:rsid w:val="00C07332"/>
    <w:rsid w:val="00C077F6"/>
    <w:rsid w:val="00C101A2"/>
    <w:rsid w:val="00C1062E"/>
    <w:rsid w:val="00C11D91"/>
    <w:rsid w:val="00C149B8"/>
    <w:rsid w:val="00C14B76"/>
    <w:rsid w:val="00C16777"/>
    <w:rsid w:val="00C17B7A"/>
    <w:rsid w:val="00C20652"/>
    <w:rsid w:val="00C22A1E"/>
    <w:rsid w:val="00C23753"/>
    <w:rsid w:val="00C24961"/>
    <w:rsid w:val="00C25AE2"/>
    <w:rsid w:val="00C25B4E"/>
    <w:rsid w:val="00C260A0"/>
    <w:rsid w:val="00C30723"/>
    <w:rsid w:val="00C3195F"/>
    <w:rsid w:val="00C32B9D"/>
    <w:rsid w:val="00C33547"/>
    <w:rsid w:val="00C33587"/>
    <w:rsid w:val="00C33880"/>
    <w:rsid w:val="00C339B1"/>
    <w:rsid w:val="00C33D9E"/>
    <w:rsid w:val="00C351FD"/>
    <w:rsid w:val="00C379D4"/>
    <w:rsid w:val="00C42446"/>
    <w:rsid w:val="00C42999"/>
    <w:rsid w:val="00C4376F"/>
    <w:rsid w:val="00C4415D"/>
    <w:rsid w:val="00C46AD8"/>
    <w:rsid w:val="00C50310"/>
    <w:rsid w:val="00C516C1"/>
    <w:rsid w:val="00C522F1"/>
    <w:rsid w:val="00C577EB"/>
    <w:rsid w:val="00C618E0"/>
    <w:rsid w:val="00C61DB5"/>
    <w:rsid w:val="00C63603"/>
    <w:rsid w:val="00C65D2E"/>
    <w:rsid w:val="00C6658F"/>
    <w:rsid w:val="00C708A4"/>
    <w:rsid w:val="00C71B85"/>
    <w:rsid w:val="00C732F7"/>
    <w:rsid w:val="00C76B24"/>
    <w:rsid w:val="00C800C5"/>
    <w:rsid w:val="00C80E9C"/>
    <w:rsid w:val="00C8475D"/>
    <w:rsid w:val="00C90486"/>
    <w:rsid w:val="00C90A60"/>
    <w:rsid w:val="00C933DD"/>
    <w:rsid w:val="00C95B77"/>
    <w:rsid w:val="00C95C3D"/>
    <w:rsid w:val="00C96BDC"/>
    <w:rsid w:val="00C97E6F"/>
    <w:rsid w:val="00CA085A"/>
    <w:rsid w:val="00CA23DB"/>
    <w:rsid w:val="00CA4A1B"/>
    <w:rsid w:val="00CA698E"/>
    <w:rsid w:val="00CB0AF0"/>
    <w:rsid w:val="00CB1E18"/>
    <w:rsid w:val="00CB2C4F"/>
    <w:rsid w:val="00CB4EF1"/>
    <w:rsid w:val="00CB6904"/>
    <w:rsid w:val="00CB7943"/>
    <w:rsid w:val="00CC0234"/>
    <w:rsid w:val="00CC02AD"/>
    <w:rsid w:val="00CC1175"/>
    <w:rsid w:val="00CC2248"/>
    <w:rsid w:val="00CC2716"/>
    <w:rsid w:val="00CC4057"/>
    <w:rsid w:val="00CC54CF"/>
    <w:rsid w:val="00CC6046"/>
    <w:rsid w:val="00CC71CD"/>
    <w:rsid w:val="00CD3876"/>
    <w:rsid w:val="00CD5849"/>
    <w:rsid w:val="00CD5FC9"/>
    <w:rsid w:val="00CD63A2"/>
    <w:rsid w:val="00CD6602"/>
    <w:rsid w:val="00CD6FA0"/>
    <w:rsid w:val="00CD7E2F"/>
    <w:rsid w:val="00CE2A5A"/>
    <w:rsid w:val="00CE43E4"/>
    <w:rsid w:val="00CF088E"/>
    <w:rsid w:val="00CF1B85"/>
    <w:rsid w:val="00D00683"/>
    <w:rsid w:val="00D00690"/>
    <w:rsid w:val="00D04172"/>
    <w:rsid w:val="00D047E3"/>
    <w:rsid w:val="00D05280"/>
    <w:rsid w:val="00D066AA"/>
    <w:rsid w:val="00D066F8"/>
    <w:rsid w:val="00D069C4"/>
    <w:rsid w:val="00D06D6A"/>
    <w:rsid w:val="00D11E7B"/>
    <w:rsid w:val="00D1208C"/>
    <w:rsid w:val="00D12A8A"/>
    <w:rsid w:val="00D12B46"/>
    <w:rsid w:val="00D13E1E"/>
    <w:rsid w:val="00D14EB1"/>
    <w:rsid w:val="00D1533F"/>
    <w:rsid w:val="00D15AD8"/>
    <w:rsid w:val="00D169A7"/>
    <w:rsid w:val="00D16EE0"/>
    <w:rsid w:val="00D20CA6"/>
    <w:rsid w:val="00D22317"/>
    <w:rsid w:val="00D23759"/>
    <w:rsid w:val="00D2419F"/>
    <w:rsid w:val="00D2440A"/>
    <w:rsid w:val="00D249AB"/>
    <w:rsid w:val="00D250A8"/>
    <w:rsid w:val="00D270F0"/>
    <w:rsid w:val="00D30F23"/>
    <w:rsid w:val="00D33E00"/>
    <w:rsid w:val="00D35494"/>
    <w:rsid w:val="00D35DAB"/>
    <w:rsid w:val="00D408B5"/>
    <w:rsid w:val="00D417B4"/>
    <w:rsid w:val="00D41F62"/>
    <w:rsid w:val="00D42094"/>
    <w:rsid w:val="00D42249"/>
    <w:rsid w:val="00D42E1E"/>
    <w:rsid w:val="00D42EEC"/>
    <w:rsid w:val="00D43676"/>
    <w:rsid w:val="00D43BDB"/>
    <w:rsid w:val="00D44EA3"/>
    <w:rsid w:val="00D4724A"/>
    <w:rsid w:val="00D51537"/>
    <w:rsid w:val="00D529A5"/>
    <w:rsid w:val="00D52EE4"/>
    <w:rsid w:val="00D567A2"/>
    <w:rsid w:val="00D569E9"/>
    <w:rsid w:val="00D56DB0"/>
    <w:rsid w:val="00D57B07"/>
    <w:rsid w:val="00D57D57"/>
    <w:rsid w:val="00D63934"/>
    <w:rsid w:val="00D65EB0"/>
    <w:rsid w:val="00D6765D"/>
    <w:rsid w:val="00D6799E"/>
    <w:rsid w:val="00D7202D"/>
    <w:rsid w:val="00D729CC"/>
    <w:rsid w:val="00D73A72"/>
    <w:rsid w:val="00D749E0"/>
    <w:rsid w:val="00D74A2F"/>
    <w:rsid w:val="00D774DD"/>
    <w:rsid w:val="00D77FA2"/>
    <w:rsid w:val="00D80A37"/>
    <w:rsid w:val="00D839AC"/>
    <w:rsid w:val="00D84DCE"/>
    <w:rsid w:val="00D87B06"/>
    <w:rsid w:val="00D87C2D"/>
    <w:rsid w:val="00D87CD3"/>
    <w:rsid w:val="00D95422"/>
    <w:rsid w:val="00DA0499"/>
    <w:rsid w:val="00DA06E3"/>
    <w:rsid w:val="00DA164B"/>
    <w:rsid w:val="00DA234A"/>
    <w:rsid w:val="00DA24F2"/>
    <w:rsid w:val="00DA257A"/>
    <w:rsid w:val="00DA27DD"/>
    <w:rsid w:val="00DA27E1"/>
    <w:rsid w:val="00DA3EBF"/>
    <w:rsid w:val="00DA3F9A"/>
    <w:rsid w:val="00DA5C4B"/>
    <w:rsid w:val="00DA62F3"/>
    <w:rsid w:val="00DB177A"/>
    <w:rsid w:val="00DB22B1"/>
    <w:rsid w:val="00DB255E"/>
    <w:rsid w:val="00DB5103"/>
    <w:rsid w:val="00DB5FBC"/>
    <w:rsid w:val="00DB61C5"/>
    <w:rsid w:val="00DB6FD9"/>
    <w:rsid w:val="00DC1138"/>
    <w:rsid w:val="00DC2BC5"/>
    <w:rsid w:val="00DC3F15"/>
    <w:rsid w:val="00DC5FE6"/>
    <w:rsid w:val="00DC689B"/>
    <w:rsid w:val="00DC74BF"/>
    <w:rsid w:val="00DD019C"/>
    <w:rsid w:val="00DD04A9"/>
    <w:rsid w:val="00DD1159"/>
    <w:rsid w:val="00DD16BB"/>
    <w:rsid w:val="00DD1A45"/>
    <w:rsid w:val="00DD2F58"/>
    <w:rsid w:val="00DD441A"/>
    <w:rsid w:val="00DD77CE"/>
    <w:rsid w:val="00DE1AA9"/>
    <w:rsid w:val="00DE2CE2"/>
    <w:rsid w:val="00DE4A61"/>
    <w:rsid w:val="00DE55D4"/>
    <w:rsid w:val="00DE68E6"/>
    <w:rsid w:val="00DF1DB1"/>
    <w:rsid w:val="00DF2B4E"/>
    <w:rsid w:val="00DF3AD1"/>
    <w:rsid w:val="00DF3C58"/>
    <w:rsid w:val="00DF42B2"/>
    <w:rsid w:val="00DF466F"/>
    <w:rsid w:val="00DF4C92"/>
    <w:rsid w:val="00DF53FD"/>
    <w:rsid w:val="00DF5A25"/>
    <w:rsid w:val="00E028F4"/>
    <w:rsid w:val="00E03FC4"/>
    <w:rsid w:val="00E1074B"/>
    <w:rsid w:val="00E14957"/>
    <w:rsid w:val="00E173E3"/>
    <w:rsid w:val="00E17D19"/>
    <w:rsid w:val="00E17EE2"/>
    <w:rsid w:val="00E206EB"/>
    <w:rsid w:val="00E2114A"/>
    <w:rsid w:val="00E21D3A"/>
    <w:rsid w:val="00E222CB"/>
    <w:rsid w:val="00E23103"/>
    <w:rsid w:val="00E24D9A"/>
    <w:rsid w:val="00E24DB1"/>
    <w:rsid w:val="00E2606E"/>
    <w:rsid w:val="00E302E6"/>
    <w:rsid w:val="00E30682"/>
    <w:rsid w:val="00E30AA7"/>
    <w:rsid w:val="00E33174"/>
    <w:rsid w:val="00E339BE"/>
    <w:rsid w:val="00E33A51"/>
    <w:rsid w:val="00E3535F"/>
    <w:rsid w:val="00E374FB"/>
    <w:rsid w:val="00E37F93"/>
    <w:rsid w:val="00E40CC4"/>
    <w:rsid w:val="00E43068"/>
    <w:rsid w:val="00E43988"/>
    <w:rsid w:val="00E443B8"/>
    <w:rsid w:val="00E51B3C"/>
    <w:rsid w:val="00E54D93"/>
    <w:rsid w:val="00E56FA4"/>
    <w:rsid w:val="00E57E26"/>
    <w:rsid w:val="00E6189C"/>
    <w:rsid w:val="00E61CD6"/>
    <w:rsid w:val="00E65381"/>
    <w:rsid w:val="00E67CD8"/>
    <w:rsid w:val="00E70222"/>
    <w:rsid w:val="00E7184B"/>
    <w:rsid w:val="00E72479"/>
    <w:rsid w:val="00E74840"/>
    <w:rsid w:val="00E75279"/>
    <w:rsid w:val="00E758B7"/>
    <w:rsid w:val="00E76102"/>
    <w:rsid w:val="00E77837"/>
    <w:rsid w:val="00E77DA8"/>
    <w:rsid w:val="00E818A3"/>
    <w:rsid w:val="00E836A2"/>
    <w:rsid w:val="00E855F7"/>
    <w:rsid w:val="00E906E8"/>
    <w:rsid w:val="00E9098C"/>
    <w:rsid w:val="00E93A80"/>
    <w:rsid w:val="00E9440F"/>
    <w:rsid w:val="00E95F5D"/>
    <w:rsid w:val="00EA5058"/>
    <w:rsid w:val="00EA5E92"/>
    <w:rsid w:val="00EA6C67"/>
    <w:rsid w:val="00EA781D"/>
    <w:rsid w:val="00EB0085"/>
    <w:rsid w:val="00EB06AE"/>
    <w:rsid w:val="00EB0867"/>
    <w:rsid w:val="00EB0D2A"/>
    <w:rsid w:val="00EB1812"/>
    <w:rsid w:val="00EB1F5A"/>
    <w:rsid w:val="00EB3E8E"/>
    <w:rsid w:val="00EB409F"/>
    <w:rsid w:val="00EB524A"/>
    <w:rsid w:val="00EB65D5"/>
    <w:rsid w:val="00EC0487"/>
    <w:rsid w:val="00EC144C"/>
    <w:rsid w:val="00EC2658"/>
    <w:rsid w:val="00EC6D55"/>
    <w:rsid w:val="00EC7A0D"/>
    <w:rsid w:val="00ED25E0"/>
    <w:rsid w:val="00ED3955"/>
    <w:rsid w:val="00ED6E00"/>
    <w:rsid w:val="00EE087B"/>
    <w:rsid w:val="00EE17C5"/>
    <w:rsid w:val="00EE2070"/>
    <w:rsid w:val="00EE24C1"/>
    <w:rsid w:val="00EE3909"/>
    <w:rsid w:val="00EE3BAB"/>
    <w:rsid w:val="00EE4078"/>
    <w:rsid w:val="00EE5F4A"/>
    <w:rsid w:val="00EE7264"/>
    <w:rsid w:val="00EF00D3"/>
    <w:rsid w:val="00EF1CB3"/>
    <w:rsid w:val="00EF2E3C"/>
    <w:rsid w:val="00EF53FA"/>
    <w:rsid w:val="00EF5462"/>
    <w:rsid w:val="00EF5555"/>
    <w:rsid w:val="00F009F2"/>
    <w:rsid w:val="00F00D02"/>
    <w:rsid w:val="00F01F8C"/>
    <w:rsid w:val="00F04703"/>
    <w:rsid w:val="00F11391"/>
    <w:rsid w:val="00F17046"/>
    <w:rsid w:val="00F20F3C"/>
    <w:rsid w:val="00F2218D"/>
    <w:rsid w:val="00F22979"/>
    <w:rsid w:val="00F22D1B"/>
    <w:rsid w:val="00F23152"/>
    <w:rsid w:val="00F23905"/>
    <w:rsid w:val="00F23D5C"/>
    <w:rsid w:val="00F276F7"/>
    <w:rsid w:val="00F30401"/>
    <w:rsid w:val="00F31444"/>
    <w:rsid w:val="00F32976"/>
    <w:rsid w:val="00F33D75"/>
    <w:rsid w:val="00F34AA4"/>
    <w:rsid w:val="00F417F3"/>
    <w:rsid w:val="00F41E0E"/>
    <w:rsid w:val="00F42B55"/>
    <w:rsid w:val="00F43C20"/>
    <w:rsid w:val="00F43D31"/>
    <w:rsid w:val="00F44070"/>
    <w:rsid w:val="00F44D86"/>
    <w:rsid w:val="00F45609"/>
    <w:rsid w:val="00F504DB"/>
    <w:rsid w:val="00F52053"/>
    <w:rsid w:val="00F52E77"/>
    <w:rsid w:val="00F53B08"/>
    <w:rsid w:val="00F5620B"/>
    <w:rsid w:val="00F6136B"/>
    <w:rsid w:val="00F61571"/>
    <w:rsid w:val="00F61CF2"/>
    <w:rsid w:val="00F62D46"/>
    <w:rsid w:val="00F672ED"/>
    <w:rsid w:val="00F6781C"/>
    <w:rsid w:val="00F729D5"/>
    <w:rsid w:val="00F73A2E"/>
    <w:rsid w:val="00F74261"/>
    <w:rsid w:val="00F76A7E"/>
    <w:rsid w:val="00F808A3"/>
    <w:rsid w:val="00F82300"/>
    <w:rsid w:val="00F84A09"/>
    <w:rsid w:val="00F85588"/>
    <w:rsid w:val="00F85AF2"/>
    <w:rsid w:val="00F8728C"/>
    <w:rsid w:val="00F87376"/>
    <w:rsid w:val="00F92102"/>
    <w:rsid w:val="00F95BEE"/>
    <w:rsid w:val="00F967FB"/>
    <w:rsid w:val="00F96E02"/>
    <w:rsid w:val="00F97842"/>
    <w:rsid w:val="00FA366C"/>
    <w:rsid w:val="00FA5E57"/>
    <w:rsid w:val="00FA7508"/>
    <w:rsid w:val="00FA7570"/>
    <w:rsid w:val="00FA7738"/>
    <w:rsid w:val="00FB21D4"/>
    <w:rsid w:val="00FB588C"/>
    <w:rsid w:val="00FB5BE3"/>
    <w:rsid w:val="00FB7B86"/>
    <w:rsid w:val="00FC22E9"/>
    <w:rsid w:val="00FC25A0"/>
    <w:rsid w:val="00FC5145"/>
    <w:rsid w:val="00FC66D2"/>
    <w:rsid w:val="00FC6A4D"/>
    <w:rsid w:val="00FC7A7A"/>
    <w:rsid w:val="00FD3553"/>
    <w:rsid w:val="00FD4843"/>
    <w:rsid w:val="00FD4AE3"/>
    <w:rsid w:val="00FD4DC3"/>
    <w:rsid w:val="00FE2DD8"/>
    <w:rsid w:val="00FF0984"/>
    <w:rsid w:val="00FF4E33"/>
    <w:rsid w:val="00FF50C5"/>
    <w:rsid w:val="00FF6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DFCF7F-1C3B-4800-AF64-ED9C98A8B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E8E"/>
    <w:pPr>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B3E8E"/>
    <w:rPr>
      <w:rFonts w:asciiTheme="minorHAnsi" w:eastAsiaTheme="minorHAnsi" w:hAnsiTheme="minorHAnsi" w:cstheme="minorBidi"/>
      <w:sz w:val="20"/>
      <w:szCs w:val="20"/>
    </w:rPr>
  </w:style>
  <w:style w:type="character" w:customStyle="1" w:styleId="a4">
    <w:name w:val="Текст сноски Знак"/>
    <w:basedOn w:val="a0"/>
    <w:link w:val="a3"/>
    <w:uiPriority w:val="99"/>
    <w:semiHidden/>
    <w:rsid w:val="00EB3E8E"/>
    <w:rPr>
      <w:sz w:val="20"/>
      <w:szCs w:val="20"/>
    </w:rPr>
  </w:style>
  <w:style w:type="character" w:styleId="a5">
    <w:name w:val="footnote reference"/>
    <w:basedOn w:val="a0"/>
    <w:uiPriority w:val="99"/>
    <w:semiHidden/>
    <w:unhideWhenUsed/>
    <w:rsid w:val="00EB3E8E"/>
    <w:rPr>
      <w:vertAlign w:val="superscript"/>
    </w:rPr>
  </w:style>
  <w:style w:type="character" w:styleId="a6">
    <w:name w:val="Hyperlink"/>
    <w:basedOn w:val="a0"/>
    <w:uiPriority w:val="99"/>
    <w:semiHidden/>
    <w:unhideWhenUsed/>
    <w:rsid w:val="00EB3E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31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3" Type="http://schemas.openxmlformats.org/officeDocument/2006/relationships/webSettings" Target="webSettings.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footnotes" Target="footnote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2826</Words>
  <Characters>16114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18903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Сазонова Анна Александровна</dc:creator>
  <cp:keywords/>
  <dc:description/>
  <cp:lastModifiedBy>Сазонова Анна Александровна</cp:lastModifiedBy>
  <cp:revision>3</cp:revision>
  <dcterms:created xsi:type="dcterms:W3CDTF">2024-04-08T06:59:00Z</dcterms:created>
  <dcterms:modified xsi:type="dcterms:W3CDTF">2024-04-10T12:19:00Z</dcterms:modified>
</cp:coreProperties>
</file>